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A590" w14:textId="592036E8" w:rsidR="002E2CD1" w:rsidRDefault="00B578ED" w:rsidP="002E2CD1">
      <w:pPr>
        <w:pStyle w:val="Title"/>
        <w:rPr>
          <w:rFonts w:ascii="Times New Roman" w:hAnsi="Times New Roman" w:cs="Times New Roman"/>
        </w:rPr>
      </w:pPr>
      <w:r>
        <w:t>Tax Card 2019</w:t>
      </w:r>
      <w:r w:rsidR="002E2CD1">
        <w:t>/</w:t>
      </w:r>
      <w:r>
        <w:t>20</w:t>
      </w:r>
    </w:p>
    <w:p w14:paraId="5BBD654B" w14:textId="54E30A45" w:rsidR="002E2CD1" w:rsidRDefault="000D2F33" w:rsidP="000D2F33">
      <w:pPr>
        <w:pStyle w:val="Heading2"/>
      </w:pPr>
      <w:r>
        <w:t>TAXABLE INCOME TAX BANDS AND RATES</w:t>
      </w:r>
    </w:p>
    <w:tbl>
      <w:tblPr>
        <w:tblW w:w="47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2554"/>
        <w:gridCol w:w="2554"/>
      </w:tblGrid>
      <w:tr w:rsidR="00EE7EC5" w14:paraId="771CAACB" w14:textId="77777777" w:rsidTr="00EE7EC5">
        <w:tc>
          <w:tcPr>
            <w:tcW w:w="2072" w:type="pct"/>
            <w:shd w:val="clear" w:color="auto" w:fill="D9D9D9"/>
          </w:tcPr>
          <w:p w14:paraId="0BE3E23D" w14:textId="77777777" w:rsidR="00EE7EC5" w:rsidRDefault="00EE7EC5" w:rsidP="002E2CD1">
            <w:pPr>
              <w:spacing w:after="0" w:line="240" w:lineRule="auto"/>
              <w:rPr>
                <w:rFonts w:ascii="Times New Roman" w:hAnsi="Times New Roman" w:cs="Times New Roman"/>
                <w:b/>
                <w:bCs/>
              </w:rPr>
            </w:pPr>
          </w:p>
        </w:tc>
        <w:tc>
          <w:tcPr>
            <w:tcW w:w="1464" w:type="pct"/>
            <w:shd w:val="clear" w:color="auto" w:fill="D9D9D9"/>
          </w:tcPr>
          <w:p w14:paraId="406AF888" w14:textId="77777777" w:rsidR="00EE7EC5" w:rsidRDefault="00EE7EC5" w:rsidP="002E2CD1">
            <w:pPr>
              <w:spacing w:after="0" w:line="240" w:lineRule="auto"/>
              <w:rPr>
                <w:b/>
                <w:bCs/>
              </w:rPr>
            </w:pPr>
            <w:r>
              <w:rPr>
                <w:b/>
                <w:bCs/>
              </w:rPr>
              <w:t>2019/20</w:t>
            </w:r>
          </w:p>
        </w:tc>
        <w:tc>
          <w:tcPr>
            <w:tcW w:w="1464" w:type="pct"/>
            <w:shd w:val="clear" w:color="auto" w:fill="D9D9D9"/>
          </w:tcPr>
          <w:p w14:paraId="62CD3FFD" w14:textId="77777777" w:rsidR="00EE7EC5" w:rsidRDefault="00EE7EC5" w:rsidP="002E2CD1">
            <w:pPr>
              <w:spacing w:after="0" w:line="240" w:lineRule="auto"/>
              <w:rPr>
                <w:b/>
                <w:bCs/>
              </w:rPr>
            </w:pPr>
            <w:r>
              <w:rPr>
                <w:b/>
                <w:bCs/>
              </w:rPr>
              <w:t>2018/19</w:t>
            </w:r>
          </w:p>
        </w:tc>
      </w:tr>
      <w:tr w:rsidR="00EE7EC5" w14:paraId="03BD1F87" w14:textId="77777777" w:rsidTr="00EE7EC5">
        <w:tc>
          <w:tcPr>
            <w:tcW w:w="2072" w:type="pct"/>
          </w:tcPr>
          <w:p w14:paraId="21D11E71" w14:textId="77777777" w:rsidR="00EE7EC5" w:rsidRDefault="00EE7EC5" w:rsidP="002E2CD1">
            <w:pPr>
              <w:spacing w:after="0" w:line="240" w:lineRule="auto"/>
            </w:pPr>
            <w:r>
              <w:t xml:space="preserve">Starting rate* of 0% on savings up to </w:t>
            </w:r>
          </w:p>
        </w:tc>
        <w:tc>
          <w:tcPr>
            <w:tcW w:w="1464" w:type="pct"/>
          </w:tcPr>
          <w:p w14:paraId="6E898FB8" w14:textId="52946364" w:rsidR="00EE7EC5" w:rsidRPr="002E2CD1" w:rsidRDefault="00B578ED" w:rsidP="002E2CD1">
            <w:pPr>
              <w:spacing w:after="0" w:line="240" w:lineRule="auto"/>
              <w:rPr>
                <w:rFonts w:asciiTheme="minorHAnsi" w:hAnsiTheme="minorHAnsi" w:cstheme="minorHAnsi"/>
              </w:rPr>
            </w:pPr>
            <w:r>
              <w:rPr>
                <w:rFonts w:asciiTheme="minorHAnsi" w:hAnsiTheme="minorHAnsi" w:cstheme="minorHAnsi"/>
              </w:rPr>
              <w:t>£5,000</w:t>
            </w:r>
          </w:p>
        </w:tc>
        <w:tc>
          <w:tcPr>
            <w:tcW w:w="1464" w:type="pct"/>
          </w:tcPr>
          <w:p w14:paraId="2E5B684D" w14:textId="77777777" w:rsidR="00EE7EC5" w:rsidRPr="002E2CD1" w:rsidRDefault="00EE7EC5" w:rsidP="002E2CD1">
            <w:pPr>
              <w:spacing w:after="0" w:line="240" w:lineRule="auto"/>
              <w:rPr>
                <w:rFonts w:asciiTheme="minorHAnsi" w:hAnsiTheme="minorHAnsi" w:cstheme="minorHAnsi"/>
              </w:rPr>
            </w:pPr>
            <w:r w:rsidRPr="002E2CD1">
              <w:rPr>
                <w:rFonts w:asciiTheme="minorHAnsi" w:hAnsiTheme="minorHAnsi" w:cstheme="minorHAnsi"/>
              </w:rPr>
              <w:t>£5,000</w:t>
            </w:r>
          </w:p>
        </w:tc>
      </w:tr>
      <w:tr w:rsidR="00EE7EC5" w14:paraId="6D5BCAFE" w14:textId="77777777" w:rsidTr="00EE7EC5">
        <w:tc>
          <w:tcPr>
            <w:tcW w:w="2072" w:type="pct"/>
          </w:tcPr>
          <w:p w14:paraId="096F3173" w14:textId="2E1BFE57" w:rsidR="00EE7EC5" w:rsidRDefault="000D2F33" w:rsidP="002E2CD1">
            <w:pPr>
              <w:spacing w:after="0" w:line="240" w:lineRule="auto"/>
            </w:pPr>
            <w:r>
              <w:t>Basic-</w:t>
            </w:r>
            <w:r w:rsidR="00EE7EC5">
              <w:t>rate band</w:t>
            </w:r>
          </w:p>
        </w:tc>
        <w:tc>
          <w:tcPr>
            <w:tcW w:w="1464" w:type="pct"/>
          </w:tcPr>
          <w:p w14:paraId="09C8AD1F" w14:textId="6AEB0929" w:rsidR="00EE7EC5" w:rsidRDefault="00B55519" w:rsidP="00B213E1">
            <w:pPr>
              <w:spacing w:after="0" w:line="240" w:lineRule="auto"/>
            </w:pPr>
            <w:r>
              <w:t>£37,500</w:t>
            </w:r>
          </w:p>
        </w:tc>
        <w:tc>
          <w:tcPr>
            <w:tcW w:w="1464" w:type="pct"/>
          </w:tcPr>
          <w:p w14:paraId="72A63568" w14:textId="77777777" w:rsidR="00EE7EC5" w:rsidRDefault="00EE7EC5" w:rsidP="00B213E1">
            <w:pPr>
              <w:spacing w:after="0" w:line="240" w:lineRule="auto"/>
            </w:pPr>
            <w:r>
              <w:t>£34,500</w:t>
            </w:r>
          </w:p>
        </w:tc>
      </w:tr>
      <w:tr w:rsidR="00EE7EC5" w14:paraId="265D355C" w14:textId="77777777" w:rsidTr="00EE7EC5">
        <w:tc>
          <w:tcPr>
            <w:tcW w:w="2072" w:type="pct"/>
          </w:tcPr>
          <w:p w14:paraId="758767FC" w14:textId="4EFD0D06" w:rsidR="00EE7EC5" w:rsidRDefault="000D2F33" w:rsidP="00B213E1">
            <w:pPr>
              <w:spacing w:after="0" w:line="240" w:lineRule="auto"/>
            </w:pPr>
            <w:r>
              <w:t>Higher-</w:t>
            </w:r>
            <w:r w:rsidR="00EE7EC5">
              <w:t>rate band</w:t>
            </w:r>
          </w:p>
        </w:tc>
        <w:tc>
          <w:tcPr>
            <w:tcW w:w="1464" w:type="pct"/>
          </w:tcPr>
          <w:p w14:paraId="66AD162C" w14:textId="30F66CE8" w:rsidR="00EE7EC5" w:rsidRDefault="00B55519" w:rsidP="004C1E0A">
            <w:pPr>
              <w:spacing w:after="0" w:line="240" w:lineRule="auto"/>
            </w:pPr>
            <w:r>
              <w:t>£37,</w:t>
            </w:r>
            <w:r w:rsidR="004C1E0A">
              <w:t>501</w:t>
            </w:r>
            <w:r w:rsidR="00FB613D">
              <w:t xml:space="preserve"> to </w:t>
            </w:r>
            <w:r>
              <w:t>£150,000</w:t>
            </w:r>
          </w:p>
        </w:tc>
        <w:tc>
          <w:tcPr>
            <w:tcW w:w="1464" w:type="pct"/>
          </w:tcPr>
          <w:p w14:paraId="193877EB" w14:textId="256D09E8" w:rsidR="00EE7EC5" w:rsidRDefault="00EE7EC5" w:rsidP="00FB613D">
            <w:pPr>
              <w:spacing w:after="0" w:line="240" w:lineRule="auto"/>
            </w:pPr>
            <w:r>
              <w:t xml:space="preserve">£34,501 </w:t>
            </w:r>
            <w:r w:rsidR="00FB613D">
              <w:t>to</w:t>
            </w:r>
            <w:r>
              <w:t xml:space="preserve"> £150,000</w:t>
            </w:r>
          </w:p>
        </w:tc>
      </w:tr>
      <w:tr w:rsidR="00EE7EC5" w14:paraId="4848A93D" w14:textId="77777777" w:rsidTr="00EE7EC5">
        <w:tc>
          <w:tcPr>
            <w:tcW w:w="2072" w:type="pct"/>
          </w:tcPr>
          <w:p w14:paraId="60D4CCBB" w14:textId="36661C62" w:rsidR="00EE7EC5" w:rsidRDefault="000D2F33" w:rsidP="002E2CD1">
            <w:pPr>
              <w:spacing w:after="0" w:line="240" w:lineRule="auto"/>
            </w:pPr>
            <w:r>
              <w:t>Additional-</w:t>
            </w:r>
            <w:r w:rsidR="00EE7EC5">
              <w:t>rate band</w:t>
            </w:r>
          </w:p>
        </w:tc>
        <w:tc>
          <w:tcPr>
            <w:tcW w:w="1464" w:type="pct"/>
          </w:tcPr>
          <w:p w14:paraId="5EBF189E" w14:textId="77A69358" w:rsidR="00EE7EC5" w:rsidRDefault="00B55519" w:rsidP="002E2CD1">
            <w:pPr>
              <w:spacing w:after="0" w:line="240" w:lineRule="auto"/>
            </w:pPr>
            <w:r>
              <w:t>Over £150,000</w:t>
            </w:r>
          </w:p>
        </w:tc>
        <w:tc>
          <w:tcPr>
            <w:tcW w:w="1464" w:type="pct"/>
          </w:tcPr>
          <w:p w14:paraId="64205ACF" w14:textId="77777777" w:rsidR="00EE7EC5" w:rsidRDefault="00EE7EC5" w:rsidP="002E2CD1">
            <w:pPr>
              <w:spacing w:after="0" w:line="240" w:lineRule="auto"/>
            </w:pPr>
            <w:r>
              <w:t>Over £150,000</w:t>
            </w:r>
          </w:p>
        </w:tc>
      </w:tr>
      <w:tr w:rsidR="00EE7EC5" w14:paraId="491D7A0C" w14:textId="77777777" w:rsidTr="00EE7EC5">
        <w:tc>
          <w:tcPr>
            <w:tcW w:w="2072" w:type="pct"/>
          </w:tcPr>
          <w:p w14:paraId="26917489" w14:textId="77777777" w:rsidR="00EE7EC5" w:rsidRDefault="00EE7EC5" w:rsidP="002E2CD1">
            <w:pPr>
              <w:spacing w:after="0" w:line="240" w:lineRule="auto"/>
            </w:pPr>
            <w:r>
              <w:t>Basic rate</w:t>
            </w:r>
          </w:p>
        </w:tc>
        <w:tc>
          <w:tcPr>
            <w:tcW w:w="1464" w:type="pct"/>
          </w:tcPr>
          <w:p w14:paraId="35306A69" w14:textId="4C6F87CF" w:rsidR="00EE7EC5" w:rsidRDefault="00B55519" w:rsidP="002E2CD1">
            <w:pPr>
              <w:spacing w:after="0" w:line="240" w:lineRule="auto"/>
            </w:pPr>
            <w:r>
              <w:t>20%</w:t>
            </w:r>
          </w:p>
        </w:tc>
        <w:tc>
          <w:tcPr>
            <w:tcW w:w="1464" w:type="pct"/>
          </w:tcPr>
          <w:p w14:paraId="1D6F124B" w14:textId="77777777" w:rsidR="00EE7EC5" w:rsidRDefault="00EE7EC5" w:rsidP="002E2CD1">
            <w:pPr>
              <w:spacing w:after="0" w:line="240" w:lineRule="auto"/>
            </w:pPr>
            <w:r>
              <w:t>20%</w:t>
            </w:r>
          </w:p>
        </w:tc>
      </w:tr>
      <w:tr w:rsidR="00EE7EC5" w14:paraId="7DBE5C69" w14:textId="77777777" w:rsidTr="00EE7EC5">
        <w:tc>
          <w:tcPr>
            <w:tcW w:w="2072" w:type="pct"/>
          </w:tcPr>
          <w:p w14:paraId="0ADFFE0C" w14:textId="77777777" w:rsidR="00EE7EC5" w:rsidRDefault="00EE7EC5" w:rsidP="002E2CD1">
            <w:pPr>
              <w:spacing w:after="0" w:line="240" w:lineRule="auto"/>
            </w:pPr>
            <w:r>
              <w:t>Higher rate</w:t>
            </w:r>
          </w:p>
        </w:tc>
        <w:tc>
          <w:tcPr>
            <w:tcW w:w="1464" w:type="pct"/>
          </w:tcPr>
          <w:p w14:paraId="4E21C41C" w14:textId="6DB9FF51" w:rsidR="00EE7EC5" w:rsidRDefault="00B55519" w:rsidP="002E2CD1">
            <w:pPr>
              <w:spacing w:after="0" w:line="240" w:lineRule="auto"/>
            </w:pPr>
            <w:r>
              <w:t>40%</w:t>
            </w:r>
          </w:p>
        </w:tc>
        <w:tc>
          <w:tcPr>
            <w:tcW w:w="1464" w:type="pct"/>
          </w:tcPr>
          <w:p w14:paraId="006D5765" w14:textId="77777777" w:rsidR="00EE7EC5" w:rsidRDefault="00EE7EC5" w:rsidP="002E2CD1">
            <w:pPr>
              <w:spacing w:after="0" w:line="240" w:lineRule="auto"/>
            </w:pPr>
            <w:r>
              <w:t>40%</w:t>
            </w:r>
          </w:p>
        </w:tc>
      </w:tr>
      <w:tr w:rsidR="00EE7EC5" w14:paraId="43D013A5" w14:textId="77777777" w:rsidTr="00EE7EC5">
        <w:tc>
          <w:tcPr>
            <w:tcW w:w="2072" w:type="pct"/>
          </w:tcPr>
          <w:p w14:paraId="0AEC141F" w14:textId="77777777" w:rsidR="00EE7EC5" w:rsidRDefault="00EE7EC5" w:rsidP="002E2CD1">
            <w:pPr>
              <w:spacing w:after="0" w:line="240" w:lineRule="auto"/>
            </w:pPr>
            <w:r>
              <w:t>Additional rate</w:t>
            </w:r>
          </w:p>
        </w:tc>
        <w:tc>
          <w:tcPr>
            <w:tcW w:w="1464" w:type="pct"/>
          </w:tcPr>
          <w:p w14:paraId="1DCC9E8A" w14:textId="1384AE94" w:rsidR="00EE7EC5" w:rsidRDefault="00B55519" w:rsidP="002E2CD1">
            <w:pPr>
              <w:spacing w:after="0" w:line="240" w:lineRule="auto"/>
            </w:pPr>
            <w:r>
              <w:t>45%</w:t>
            </w:r>
          </w:p>
        </w:tc>
        <w:tc>
          <w:tcPr>
            <w:tcW w:w="1464" w:type="pct"/>
          </w:tcPr>
          <w:p w14:paraId="4DEACD3A" w14:textId="77777777" w:rsidR="00EE7EC5" w:rsidRDefault="00EE7EC5" w:rsidP="002E2CD1">
            <w:pPr>
              <w:spacing w:after="0" w:line="240" w:lineRule="auto"/>
            </w:pPr>
            <w:r>
              <w:t>45%</w:t>
            </w:r>
          </w:p>
        </w:tc>
      </w:tr>
      <w:tr w:rsidR="00EE7EC5" w14:paraId="684AEA68" w14:textId="77777777" w:rsidTr="00EE7EC5">
        <w:tc>
          <w:tcPr>
            <w:tcW w:w="2072" w:type="pct"/>
          </w:tcPr>
          <w:p w14:paraId="208E7829" w14:textId="77777777" w:rsidR="00EE7EC5" w:rsidRDefault="00EE7EC5" w:rsidP="002E2CD1">
            <w:pPr>
              <w:spacing w:after="0" w:line="240" w:lineRule="auto"/>
            </w:pPr>
            <w:r>
              <w:t>Dividend ordinary rate</w:t>
            </w:r>
          </w:p>
        </w:tc>
        <w:tc>
          <w:tcPr>
            <w:tcW w:w="1464" w:type="pct"/>
          </w:tcPr>
          <w:p w14:paraId="14A480DC" w14:textId="642A29D2" w:rsidR="00EE7EC5" w:rsidRDefault="00B55519" w:rsidP="002E2CD1">
            <w:pPr>
              <w:spacing w:after="0" w:line="240" w:lineRule="auto"/>
            </w:pPr>
            <w:r>
              <w:t>7.5%</w:t>
            </w:r>
          </w:p>
        </w:tc>
        <w:tc>
          <w:tcPr>
            <w:tcW w:w="1464" w:type="pct"/>
          </w:tcPr>
          <w:p w14:paraId="05F021BC" w14:textId="77777777" w:rsidR="00EE7EC5" w:rsidRDefault="00EE7EC5" w:rsidP="002E2CD1">
            <w:pPr>
              <w:spacing w:after="0" w:line="240" w:lineRule="auto"/>
            </w:pPr>
            <w:r>
              <w:t>7.5%</w:t>
            </w:r>
          </w:p>
        </w:tc>
      </w:tr>
      <w:tr w:rsidR="00EE7EC5" w14:paraId="265F53A8" w14:textId="77777777" w:rsidTr="00EE7EC5">
        <w:tc>
          <w:tcPr>
            <w:tcW w:w="2072" w:type="pct"/>
          </w:tcPr>
          <w:p w14:paraId="1D0F9211" w14:textId="77777777" w:rsidR="00EE7EC5" w:rsidRDefault="00EE7EC5" w:rsidP="002E2CD1">
            <w:pPr>
              <w:spacing w:after="0" w:line="240" w:lineRule="auto"/>
            </w:pPr>
            <w:r>
              <w:t>Dividend upper rate</w:t>
            </w:r>
          </w:p>
        </w:tc>
        <w:tc>
          <w:tcPr>
            <w:tcW w:w="1464" w:type="pct"/>
          </w:tcPr>
          <w:p w14:paraId="79635A6F" w14:textId="4093571F" w:rsidR="00EE7EC5" w:rsidRDefault="00B55519" w:rsidP="002E2CD1">
            <w:pPr>
              <w:spacing w:after="0" w:line="240" w:lineRule="auto"/>
            </w:pPr>
            <w:r>
              <w:t>32.5%</w:t>
            </w:r>
          </w:p>
        </w:tc>
        <w:tc>
          <w:tcPr>
            <w:tcW w:w="1464" w:type="pct"/>
          </w:tcPr>
          <w:p w14:paraId="7391405E" w14:textId="77777777" w:rsidR="00EE7EC5" w:rsidRDefault="00EE7EC5" w:rsidP="002E2CD1">
            <w:pPr>
              <w:spacing w:after="0" w:line="240" w:lineRule="auto"/>
            </w:pPr>
            <w:r>
              <w:t>32.5%</w:t>
            </w:r>
          </w:p>
        </w:tc>
      </w:tr>
      <w:tr w:rsidR="00EE7EC5" w14:paraId="4CD60B18" w14:textId="77777777" w:rsidTr="00EE7EC5">
        <w:tc>
          <w:tcPr>
            <w:tcW w:w="2072" w:type="pct"/>
          </w:tcPr>
          <w:p w14:paraId="32191119" w14:textId="77777777" w:rsidR="00EE7EC5" w:rsidRDefault="00EE7EC5" w:rsidP="002E2CD1">
            <w:pPr>
              <w:spacing w:after="0" w:line="240" w:lineRule="auto"/>
            </w:pPr>
            <w:r>
              <w:t>Dividend additional rate</w:t>
            </w:r>
          </w:p>
        </w:tc>
        <w:tc>
          <w:tcPr>
            <w:tcW w:w="1464" w:type="pct"/>
          </w:tcPr>
          <w:p w14:paraId="06B1C759" w14:textId="6F82276F" w:rsidR="00EE7EC5" w:rsidRPr="002E2CD1" w:rsidRDefault="00B55519" w:rsidP="002E2CD1">
            <w:pPr>
              <w:spacing w:after="0" w:line="240" w:lineRule="auto"/>
              <w:rPr>
                <w:rFonts w:asciiTheme="minorHAnsi" w:hAnsiTheme="minorHAnsi" w:cstheme="minorHAnsi"/>
                <w:color w:val="000000"/>
              </w:rPr>
            </w:pPr>
            <w:r>
              <w:rPr>
                <w:rFonts w:asciiTheme="minorHAnsi" w:hAnsiTheme="minorHAnsi" w:cstheme="minorHAnsi"/>
                <w:color w:val="000000"/>
              </w:rPr>
              <w:t>38.1%</w:t>
            </w:r>
          </w:p>
        </w:tc>
        <w:tc>
          <w:tcPr>
            <w:tcW w:w="1464" w:type="pct"/>
          </w:tcPr>
          <w:p w14:paraId="6D395DF2" w14:textId="77777777" w:rsidR="00EE7EC5" w:rsidRPr="002E2CD1" w:rsidRDefault="00EE7EC5" w:rsidP="002E2CD1">
            <w:pPr>
              <w:spacing w:after="0" w:line="240" w:lineRule="auto"/>
              <w:rPr>
                <w:rFonts w:asciiTheme="minorHAnsi" w:hAnsiTheme="minorHAnsi" w:cstheme="minorHAnsi"/>
                <w:color w:val="000000"/>
              </w:rPr>
            </w:pPr>
            <w:r w:rsidRPr="002E2CD1">
              <w:rPr>
                <w:rFonts w:asciiTheme="minorHAnsi" w:hAnsiTheme="minorHAnsi" w:cstheme="minorHAnsi"/>
                <w:color w:val="000000"/>
              </w:rPr>
              <w:t>38.1%</w:t>
            </w:r>
          </w:p>
        </w:tc>
      </w:tr>
    </w:tbl>
    <w:p w14:paraId="4A746D10" w14:textId="77777777" w:rsidR="00D5313C" w:rsidRPr="00A652F2" w:rsidRDefault="002E2CD1" w:rsidP="00D5313C">
      <w:pPr>
        <w:pStyle w:val="Header"/>
        <w:tabs>
          <w:tab w:val="left" w:pos="720"/>
        </w:tabs>
        <w:spacing w:after="200" w:line="276" w:lineRule="auto"/>
        <w:rPr>
          <w:rFonts w:ascii="Times New Roman" w:hAnsi="Times New Roman" w:cs="Times New Roman"/>
          <w:i/>
          <w:sz w:val="16"/>
          <w:szCs w:val="16"/>
        </w:rPr>
      </w:pPr>
      <w:r w:rsidRPr="00A652F2">
        <w:rPr>
          <w:i/>
          <w:sz w:val="16"/>
          <w:szCs w:val="16"/>
        </w:rPr>
        <w:t>* The starting rate does not apply if taxable income exceeds the starting rate limit.</w:t>
      </w:r>
    </w:p>
    <w:p w14:paraId="6F88D461" w14:textId="19401669" w:rsidR="001B0927" w:rsidRPr="000D2F33" w:rsidRDefault="001B0927" w:rsidP="000D2F33">
      <w:pPr>
        <w:rPr>
          <w:b/>
        </w:rPr>
      </w:pPr>
      <w:r w:rsidRPr="000D2F33">
        <w:rPr>
          <w:b/>
        </w:rPr>
        <w:t>Income tax in Scotland</w:t>
      </w:r>
    </w:p>
    <w:tbl>
      <w:tblPr>
        <w:tblStyle w:val="TableGrid"/>
        <w:tblW w:w="0" w:type="auto"/>
        <w:tblLook w:val="04A0" w:firstRow="1" w:lastRow="0" w:firstColumn="1" w:lastColumn="0" w:noHBand="0" w:noVBand="1"/>
      </w:tblPr>
      <w:tblGrid>
        <w:gridCol w:w="1951"/>
        <w:gridCol w:w="2253"/>
        <w:gridCol w:w="724"/>
        <w:gridCol w:w="2268"/>
        <w:gridCol w:w="724"/>
      </w:tblGrid>
      <w:tr w:rsidR="00FB613D" w:rsidRPr="004B15DF" w14:paraId="6BE11CAF" w14:textId="77777777" w:rsidTr="00FB613D">
        <w:trPr>
          <w:trHeight w:val="255"/>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C4D2D" w14:textId="7FBCBC58" w:rsidR="00FB613D" w:rsidRDefault="00FB613D" w:rsidP="00EF29FF">
            <w:pPr>
              <w:rPr>
                <w:b/>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31487" w14:textId="0FC7B436" w:rsidR="00FB613D" w:rsidRDefault="00FB613D" w:rsidP="00FB613D">
            <w:pPr>
              <w:jc w:val="center"/>
              <w:rPr>
                <w:b/>
              </w:rPr>
            </w:pPr>
            <w:r>
              <w:rPr>
                <w:b/>
              </w:rPr>
              <w:t>2019/20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8D645" w14:textId="7B593BAD" w:rsidR="00FB613D" w:rsidRDefault="00FB613D" w:rsidP="00FB613D">
            <w:pPr>
              <w:jc w:val="center"/>
              <w:rPr>
                <w:b/>
              </w:rPr>
            </w:pPr>
            <w:r>
              <w:rPr>
                <w:b/>
              </w:rPr>
              <w:t>2018/19</w:t>
            </w:r>
          </w:p>
        </w:tc>
      </w:tr>
      <w:tr w:rsidR="004B5EA6" w:rsidRPr="004B15DF" w14:paraId="05493F53" w14:textId="77777777" w:rsidTr="00FB613D">
        <w:trPr>
          <w:trHeight w:val="255"/>
        </w:trPr>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877B5" w14:textId="0BF51445" w:rsidR="00EE7EC5" w:rsidRPr="004B15DF" w:rsidRDefault="00FB613D" w:rsidP="00EF29FF">
            <w:pPr>
              <w:spacing w:after="200" w:line="276" w:lineRule="auto"/>
              <w:rPr>
                <w:b/>
              </w:rPr>
            </w:pPr>
            <w:r>
              <w:rPr>
                <w:b/>
              </w:rPr>
              <w:t>Band</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55F4D" w14:textId="36BEE00B" w:rsidR="00EE7EC5" w:rsidRPr="004B15DF" w:rsidRDefault="00FB613D" w:rsidP="00EF29FF">
            <w:pPr>
              <w:rPr>
                <w:b/>
              </w:rPr>
            </w:pPr>
            <w:r>
              <w:rPr>
                <w:b/>
              </w:rPr>
              <w:t>Taxable income</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5F341" w14:textId="6D974FCE" w:rsidR="00EE7EC5" w:rsidRPr="004B15DF" w:rsidRDefault="00FB613D" w:rsidP="00EF29FF">
            <w:pPr>
              <w:rPr>
                <w:b/>
              </w:rPr>
            </w:pPr>
            <w:r>
              <w:rPr>
                <w:b/>
              </w:rPr>
              <w:t>Rates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1B5C4" w14:textId="2AEE1682" w:rsidR="00EE7EC5" w:rsidRPr="004B15DF" w:rsidRDefault="00FB613D" w:rsidP="00EF29FF">
            <w:pPr>
              <w:spacing w:after="200" w:line="276" w:lineRule="auto"/>
              <w:rPr>
                <w:b/>
              </w:rPr>
            </w:pPr>
            <w:r>
              <w:rPr>
                <w:b/>
              </w:rPr>
              <w:t>Taxable income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7000A" w14:textId="052C708F" w:rsidR="00EE7EC5" w:rsidRPr="004B15DF" w:rsidRDefault="00FB613D" w:rsidP="00991F8C">
            <w:pPr>
              <w:spacing w:after="200" w:line="276" w:lineRule="auto"/>
              <w:rPr>
                <w:b/>
              </w:rPr>
            </w:pPr>
            <w:r>
              <w:rPr>
                <w:b/>
              </w:rPr>
              <w:t>Rates</w:t>
            </w:r>
          </w:p>
        </w:tc>
      </w:tr>
      <w:tr w:rsidR="004B5EA6" w:rsidRPr="004B15DF" w14:paraId="5388890C" w14:textId="77777777" w:rsidTr="00FB613D">
        <w:trPr>
          <w:trHeight w:val="255"/>
        </w:trPr>
        <w:tc>
          <w:tcPr>
            <w:tcW w:w="1951" w:type="dxa"/>
            <w:tcBorders>
              <w:top w:val="single" w:sz="4" w:space="0" w:color="auto"/>
              <w:left w:val="single" w:sz="4" w:space="0" w:color="auto"/>
              <w:bottom w:val="single" w:sz="4" w:space="0" w:color="auto"/>
              <w:right w:val="single" w:sz="4" w:space="0" w:color="auto"/>
            </w:tcBorders>
            <w:hideMark/>
          </w:tcPr>
          <w:p w14:paraId="660F15C3" w14:textId="1EA3C624" w:rsidR="00EE7EC5" w:rsidRPr="004B15DF" w:rsidRDefault="00FB613D" w:rsidP="00FB613D">
            <w:pPr>
              <w:spacing w:after="200" w:line="276" w:lineRule="auto"/>
              <w:jc w:val="both"/>
            </w:pPr>
            <w:r>
              <w:t>Starter-</w:t>
            </w:r>
            <w:r w:rsidR="00EE7EC5" w:rsidRPr="004B15DF">
              <w:t>rate</w:t>
            </w:r>
          </w:p>
        </w:tc>
        <w:tc>
          <w:tcPr>
            <w:tcW w:w="2253" w:type="dxa"/>
            <w:tcBorders>
              <w:top w:val="single" w:sz="4" w:space="0" w:color="auto"/>
              <w:left w:val="single" w:sz="4" w:space="0" w:color="auto"/>
              <w:bottom w:val="single" w:sz="4" w:space="0" w:color="auto"/>
              <w:right w:val="single" w:sz="4" w:space="0" w:color="auto"/>
            </w:tcBorders>
          </w:tcPr>
          <w:p w14:paraId="6BC2C609" w14:textId="0713582E" w:rsidR="00EE7EC5" w:rsidRPr="003B00F4" w:rsidRDefault="004B5EA6" w:rsidP="00FB613D">
            <w:pPr>
              <w:jc w:val="both"/>
              <w:rPr>
                <w:color w:val="FF0000"/>
              </w:rPr>
            </w:pPr>
            <w:r w:rsidRPr="00FB613D">
              <w:t>£1</w:t>
            </w:r>
            <w:r w:rsidR="00517111" w:rsidRPr="00FB613D">
              <w:t>2</w:t>
            </w:r>
            <w:r w:rsidRPr="00FB613D">
              <w:t>,</w:t>
            </w:r>
            <w:r w:rsidR="00517111" w:rsidRPr="00FB613D">
              <w:t>500</w:t>
            </w:r>
            <w:r w:rsidR="00FB613D">
              <w:t xml:space="preserve"> – </w:t>
            </w:r>
            <w:r w:rsidRPr="00FB613D">
              <w:t>£1</w:t>
            </w:r>
            <w:r w:rsidR="00517111" w:rsidRPr="00FB613D">
              <w:t>4,549</w:t>
            </w:r>
            <w:r w:rsidRPr="00FB613D">
              <w:t>*</w:t>
            </w:r>
          </w:p>
        </w:tc>
        <w:tc>
          <w:tcPr>
            <w:tcW w:w="724" w:type="dxa"/>
            <w:tcBorders>
              <w:top w:val="single" w:sz="4" w:space="0" w:color="auto"/>
              <w:left w:val="single" w:sz="4" w:space="0" w:color="auto"/>
              <w:bottom w:val="single" w:sz="4" w:space="0" w:color="auto"/>
              <w:right w:val="single" w:sz="4" w:space="0" w:color="auto"/>
            </w:tcBorders>
          </w:tcPr>
          <w:p w14:paraId="2A342C33" w14:textId="1AAF6D3D" w:rsidR="00EE7EC5" w:rsidRPr="004B15DF" w:rsidRDefault="008102ED" w:rsidP="00FB613D">
            <w:pPr>
              <w:jc w:val="both"/>
            </w:pPr>
            <w:r>
              <w:t>19%</w:t>
            </w:r>
          </w:p>
        </w:tc>
        <w:tc>
          <w:tcPr>
            <w:tcW w:w="2268" w:type="dxa"/>
            <w:tcBorders>
              <w:top w:val="single" w:sz="4" w:space="0" w:color="auto"/>
              <w:left w:val="single" w:sz="4" w:space="0" w:color="auto"/>
              <w:bottom w:val="single" w:sz="4" w:space="0" w:color="auto"/>
              <w:right w:val="single" w:sz="4" w:space="0" w:color="auto"/>
            </w:tcBorders>
            <w:hideMark/>
          </w:tcPr>
          <w:p w14:paraId="2E906DC8" w14:textId="63036D41" w:rsidR="00EE7EC5" w:rsidRPr="004B15DF" w:rsidRDefault="00EE7EC5" w:rsidP="00FB613D">
            <w:pPr>
              <w:spacing w:after="200" w:line="276" w:lineRule="auto"/>
              <w:jc w:val="both"/>
            </w:pPr>
            <w:r w:rsidRPr="004B15DF">
              <w:t>£</w:t>
            </w:r>
            <w:r w:rsidR="004B5EA6">
              <w:t>11,850</w:t>
            </w:r>
            <w:r w:rsidR="00FB613D">
              <w:t xml:space="preserve"> – </w:t>
            </w:r>
            <w:r w:rsidR="004B5EA6">
              <w:t>£13,850</w:t>
            </w:r>
            <w:r w:rsidRPr="004B15DF">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5D04F8B" w14:textId="77777777" w:rsidR="00EE7EC5" w:rsidRPr="004B15DF" w:rsidRDefault="00EE7EC5" w:rsidP="00FB613D">
            <w:pPr>
              <w:spacing w:after="200" w:line="276" w:lineRule="auto"/>
              <w:jc w:val="both"/>
            </w:pPr>
            <w:r w:rsidRPr="004B15DF">
              <w:t>19%</w:t>
            </w:r>
          </w:p>
        </w:tc>
      </w:tr>
      <w:tr w:rsidR="004B5EA6" w:rsidRPr="004B15DF" w14:paraId="56447E69" w14:textId="77777777" w:rsidTr="00FB613D">
        <w:trPr>
          <w:trHeight w:val="270"/>
        </w:trPr>
        <w:tc>
          <w:tcPr>
            <w:tcW w:w="1951" w:type="dxa"/>
            <w:tcBorders>
              <w:top w:val="single" w:sz="4" w:space="0" w:color="auto"/>
              <w:left w:val="single" w:sz="4" w:space="0" w:color="auto"/>
              <w:bottom w:val="single" w:sz="4" w:space="0" w:color="auto"/>
              <w:right w:val="single" w:sz="4" w:space="0" w:color="auto"/>
            </w:tcBorders>
            <w:hideMark/>
          </w:tcPr>
          <w:p w14:paraId="37FE6D72" w14:textId="23A12259" w:rsidR="00EE7EC5" w:rsidRPr="004B15DF" w:rsidRDefault="00FB613D" w:rsidP="00FB613D">
            <w:pPr>
              <w:spacing w:after="200" w:line="276" w:lineRule="auto"/>
            </w:pPr>
            <w:r>
              <w:t>Basic-</w:t>
            </w:r>
            <w:r w:rsidR="00EE7EC5" w:rsidRPr="004B15DF">
              <w:t>rate</w:t>
            </w:r>
          </w:p>
        </w:tc>
        <w:tc>
          <w:tcPr>
            <w:tcW w:w="2253" w:type="dxa"/>
            <w:tcBorders>
              <w:top w:val="single" w:sz="4" w:space="0" w:color="auto"/>
              <w:left w:val="single" w:sz="4" w:space="0" w:color="auto"/>
              <w:bottom w:val="single" w:sz="4" w:space="0" w:color="auto"/>
              <w:right w:val="single" w:sz="4" w:space="0" w:color="auto"/>
            </w:tcBorders>
          </w:tcPr>
          <w:p w14:paraId="36B99152" w14:textId="414C63E8" w:rsidR="00EE7EC5" w:rsidRPr="004B15DF" w:rsidRDefault="004B5EA6" w:rsidP="00FB613D">
            <w:r>
              <w:t>£1</w:t>
            </w:r>
            <w:r w:rsidR="00517111">
              <w:t>4,5</w:t>
            </w:r>
            <w:r w:rsidR="004C1E0A">
              <w:t>50</w:t>
            </w:r>
            <w:r w:rsidR="00FB613D">
              <w:t xml:space="preserve"> – </w:t>
            </w:r>
            <w:r>
              <w:t>£24,</w:t>
            </w:r>
            <w:r w:rsidR="00517111">
              <w:t>944</w:t>
            </w:r>
          </w:p>
        </w:tc>
        <w:tc>
          <w:tcPr>
            <w:tcW w:w="724" w:type="dxa"/>
            <w:tcBorders>
              <w:top w:val="single" w:sz="4" w:space="0" w:color="auto"/>
              <w:left w:val="single" w:sz="4" w:space="0" w:color="auto"/>
              <w:bottom w:val="single" w:sz="4" w:space="0" w:color="auto"/>
              <w:right w:val="single" w:sz="4" w:space="0" w:color="auto"/>
            </w:tcBorders>
          </w:tcPr>
          <w:p w14:paraId="0808C7A4" w14:textId="5F791CF5" w:rsidR="00EE7EC5" w:rsidRPr="004B15DF" w:rsidRDefault="004B5EA6" w:rsidP="00EF29FF">
            <w:r>
              <w:t>20%</w:t>
            </w:r>
          </w:p>
        </w:tc>
        <w:tc>
          <w:tcPr>
            <w:tcW w:w="2268" w:type="dxa"/>
            <w:tcBorders>
              <w:top w:val="single" w:sz="4" w:space="0" w:color="auto"/>
              <w:left w:val="single" w:sz="4" w:space="0" w:color="auto"/>
              <w:bottom w:val="single" w:sz="4" w:space="0" w:color="auto"/>
              <w:right w:val="single" w:sz="4" w:space="0" w:color="auto"/>
            </w:tcBorders>
            <w:hideMark/>
          </w:tcPr>
          <w:p w14:paraId="53DF91AE" w14:textId="06172754" w:rsidR="00EE7EC5" w:rsidRPr="004B15DF" w:rsidRDefault="00EE7EC5" w:rsidP="004C1E0A">
            <w:pPr>
              <w:spacing w:after="200" w:line="276" w:lineRule="auto"/>
            </w:pPr>
            <w:r w:rsidRPr="004B15DF">
              <w:t>£</w:t>
            </w:r>
            <w:r w:rsidR="004B5EA6">
              <w:t>13,85</w:t>
            </w:r>
            <w:r w:rsidR="004C1E0A">
              <w:t>1</w:t>
            </w:r>
            <w:r w:rsidR="00FB613D">
              <w:t xml:space="preserve"> – </w:t>
            </w:r>
            <w:r w:rsidR="004B5EA6">
              <w:t>£24,000</w:t>
            </w:r>
          </w:p>
        </w:tc>
        <w:tc>
          <w:tcPr>
            <w:tcW w:w="709" w:type="dxa"/>
            <w:tcBorders>
              <w:top w:val="single" w:sz="4" w:space="0" w:color="auto"/>
              <w:left w:val="single" w:sz="4" w:space="0" w:color="auto"/>
              <w:bottom w:val="single" w:sz="4" w:space="0" w:color="auto"/>
              <w:right w:val="single" w:sz="4" w:space="0" w:color="auto"/>
            </w:tcBorders>
            <w:hideMark/>
          </w:tcPr>
          <w:p w14:paraId="42E49568" w14:textId="77777777" w:rsidR="00EE7EC5" w:rsidRPr="004B15DF" w:rsidRDefault="00EE7EC5" w:rsidP="00EF29FF">
            <w:pPr>
              <w:spacing w:after="200" w:line="276" w:lineRule="auto"/>
            </w:pPr>
            <w:r w:rsidRPr="004B15DF">
              <w:t>20%</w:t>
            </w:r>
          </w:p>
        </w:tc>
      </w:tr>
      <w:tr w:rsidR="004B5EA6" w:rsidRPr="004B15DF" w14:paraId="4FEEF23D" w14:textId="77777777" w:rsidTr="00FB613D">
        <w:trPr>
          <w:trHeight w:val="550"/>
        </w:trPr>
        <w:tc>
          <w:tcPr>
            <w:tcW w:w="1951" w:type="dxa"/>
            <w:tcBorders>
              <w:top w:val="single" w:sz="4" w:space="0" w:color="auto"/>
              <w:left w:val="single" w:sz="4" w:space="0" w:color="auto"/>
              <w:bottom w:val="single" w:sz="4" w:space="0" w:color="auto"/>
              <w:right w:val="single" w:sz="4" w:space="0" w:color="auto"/>
            </w:tcBorders>
            <w:hideMark/>
          </w:tcPr>
          <w:p w14:paraId="1CB274DD" w14:textId="7362E2E1" w:rsidR="00EE7EC5" w:rsidRPr="004B15DF" w:rsidRDefault="00EE7EC5" w:rsidP="00FB613D">
            <w:pPr>
              <w:spacing w:after="200" w:line="276" w:lineRule="auto"/>
            </w:pPr>
            <w:r w:rsidRPr="004B15DF">
              <w:t>Intermedia</w:t>
            </w:r>
            <w:r>
              <w:t>te</w:t>
            </w:r>
            <w:r w:rsidR="00FB613D">
              <w:t>-</w:t>
            </w:r>
            <w:r w:rsidRPr="004B15DF">
              <w:t>rate</w:t>
            </w:r>
          </w:p>
        </w:tc>
        <w:tc>
          <w:tcPr>
            <w:tcW w:w="2253" w:type="dxa"/>
            <w:tcBorders>
              <w:top w:val="single" w:sz="4" w:space="0" w:color="auto"/>
              <w:left w:val="single" w:sz="4" w:space="0" w:color="auto"/>
              <w:bottom w:val="single" w:sz="4" w:space="0" w:color="auto"/>
              <w:right w:val="single" w:sz="4" w:space="0" w:color="auto"/>
            </w:tcBorders>
          </w:tcPr>
          <w:p w14:paraId="0539F949" w14:textId="3A5233EF" w:rsidR="00EE7EC5" w:rsidRPr="004B15DF" w:rsidRDefault="004B5EA6" w:rsidP="00FB613D">
            <w:r>
              <w:t>£24,</w:t>
            </w:r>
            <w:r w:rsidR="00517111">
              <w:t>94</w:t>
            </w:r>
            <w:r w:rsidR="004C1E0A">
              <w:t>5</w:t>
            </w:r>
            <w:r w:rsidR="00FB613D">
              <w:t xml:space="preserve"> – </w:t>
            </w:r>
            <w:r>
              <w:t>£43,430</w:t>
            </w:r>
          </w:p>
        </w:tc>
        <w:tc>
          <w:tcPr>
            <w:tcW w:w="724" w:type="dxa"/>
            <w:tcBorders>
              <w:top w:val="single" w:sz="4" w:space="0" w:color="auto"/>
              <w:left w:val="single" w:sz="4" w:space="0" w:color="auto"/>
              <w:bottom w:val="single" w:sz="4" w:space="0" w:color="auto"/>
              <w:right w:val="single" w:sz="4" w:space="0" w:color="auto"/>
            </w:tcBorders>
          </w:tcPr>
          <w:p w14:paraId="1C1D2570" w14:textId="538D957E" w:rsidR="00EE7EC5" w:rsidRPr="004B15DF" w:rsidRDefault="004B5EA6" w:rsidP="00D35499">
            <w:r>
              <w:t>21%</w:t>
            </w:r>
          </w:p>
        </w:tc>
        <w:tc>
          <w:tcPr>
            <w:tcW w:w="2268" w:type="dxa"/>
            <w:tcBorders>
              <w:top w:val="single" w:sz="4" w:space="0" w:color="auto"/>
              <w:left w:val="single" w:sz="4" w:space="0" w:color="auto"/>
              <w:bottom w:val="single" w:sz="4" w:space="0" w:color="auto"/>
              <w:right w:val="single" w:sz="4" w:space="0" w:color="auto"/>
            </w:tcBorders>
            <w:hideMark/>
          </w:tcPr>
          <w:p w14:paraId="2531EAD8" w14:textId="16079F3C" w:rsidR="00EE7EC5" w:rsidRPr="004B15DF" w:rsidRDefault="00EE7EC5" w:rsidP="00FB613D">
            <w:pPr>
              <w:spacing w:after="200" w:line="276" w:lineRule="auto"/>
            </w:pPr>
            <w:r w:rsidRPr="004B15DF">
              <w:t>£</w:t>
            </w:r>
            <w:r w:rsidR="004B5EA6">
              <w:t>24,00</w:t>
            </w:r>
            <w:r w:rsidR="004C1E0A">
              <w:t>1</w:t>
            </w:r>
            <w:r w:rsidRPr="004B15DF">
              <w:t xml:space="preserve"> – £</w:t>
            </w:r>
            <w:r w:rsidR="00517111">
              <w:t>43,430</w:t>
            </w:r>
          </w:p>
        </w:tc>
        <w:tc>
          <w:tcPr>
            <w:tcW w:w="709" w:type="dxa"/>
            <w:tcBorders>
              <w:top w:val="single" w:sz="4" w:space="0" w:color="auto"/>
              <w:left w:val="single" w:sz="4" w:space="0" w:color="auto"/>
              <w:bottom w:val="single" w:sz="4" w:space="0" w:color="auto"/>
              <w:right w:val="single" w:sz="4" w:space="0" w:color="auto"/>
            </w:tcBorders>
            <w:hideMark/>
          </w:tcPr>
          <w:p w14:paraId="070B19F1" w14:textId="77777777" w:rsidR="00EE7EC5" w:rsidRPr="004B15DF" w:rsidRDefault="00EE7EC5" w:rsidP="00EF29FF">
            <w:pPr>
              <w:spacing w:after="200" w:line="276" w:lineRule="auto"/>
            </w:pPr>
            <w:r w:rsidRPr="004B15DF">
              <w:t>21%</w:t>
            </w:r>
          </w:p>
        </w:tc>
      </w:tr>
      <w:tr w:rsidR="004B5EA6" w:rsidRPr="004B15DF" w14:paraId="772CF1FE" w14:textId="77777777" w:rsidTr="00FB613D">
        <w:trPr>
          <w:trHeight w:val="718"/>
        </w:trPr>
        <w:tc>
          <w:tcPr>
            <w:tcW w:w="1951" w:type="dxa"/>
            <w:tcBorders>
              <w:top w:val="single" w:sz="4" w:space="0" w:color="auto"/>
              <w:left w:val="single" w:sz="4" w:space="0" w:color="auto"/>
              <w:bottom w:val="single" w:sz="4" w:space="0" w:color="auto"/>
              <w:right w:val="single" w:sz="4" w:space="0" w:color="auto"/>
            </w:tcBorders>
            <w:hideMark/>
          </w:tcPr>
          <w:p w14:paraId="1CCFF723" w14:textId="400A03A2" w:rsidR="00EE7EC5" w:rsidRPr="004B15DF" w:rsidRDefault="00FB613D" w:rsidP="00FB613D">
            <w:pPr>
              <w:spacing w:after="200" w:line="276" w:lineRule="auto"/>
            </w:pPr>
            <w:r>
              <w:t>Higher-</w:t>
            </w:r>
            <w:r w:rsidR="00EE7EC5" w:rsidRPr="004B15DF">
              <w:t>rate</w:t>
            </w:r>
          </w:p>
        </w:tc>
        <w:tc>
          <w:tcPr>
            <w:tcW w:w="2253" w:type="dxa"/>
            <w:tcBorders>
              <w:top w:val="single" w:sz="4" w:space="0" w:color="auto"/>
              <w:left w:val="single" w:sz="4" w:space="0" w:color="auto"/>
              <w:bottom w:val="single" w:sz="4" w:space="0" w:color="auto"/>
              <w:right w:val="single" w:sz="4" w:space="0" w:color="auto"/>
            </w:tcBorders>
          </w:tcPr>
          <w:p w14:paraId="7148BF8C" w14:textId="3D6ADE22" w:rsidR="00EE7EC5" w:rsidRPr="004B15DF" w:rsidRDefault="004B5EA6" w:rsidP="004C1E0A">
            <w:r>
              <w:t>£43,43</w:t>
            </w:r>
            <w:r w:rsidR="004C1E0A">
              <w:t>1</w:t>
            </w:r>
            <w:r w:rsidR="00FB613D">
              <w:t xml:space="preserve"> – </w:t>
            </w:r>
            <w:r>
              <w:t>£150,000</w:t>
            </w:r>
          </w:p>
        </w:tc>
        <w:tc>
          <w:tcPr>
            <w:tcW w:w="724" w:type="dxa"/>
            <w:tcBorders>
              <w:top w:val="single" w:sz="4" w:space="0" w:color="auto"/>
              <w:left w:val="single" w:sz="4" w:space="0" w:color="auto"/>
              <w:bottom w:val="single" w:sz="4" w:space="0" w:color="auto"/>
              <w:right w:val="single" w:sz="4" w:space="0" w:color="auto"/>
            </w:tcBorders>
          </w:tcPr>
          <w:p w14:paraId="0EE942CB" w14:textId="279FEFB9" w:rsidR="00EE7EC5" w:rsidRPr="004B15DF" w:rsidRDefault="004B5EA6" w:rsidP="00D35499">
            <w:r>
              <w:t>41%</w:t>
            </w:r>
          </w:p>
        </w:tc>
        <w:tc>
          <w:tcPr>
            <w:tcW w:w="2268" w:type="dxa"/>
            <w:tcBorders>
              <w:top w:val="single" w:sz="4" w:space="0" w:color="auto"/>
              <w:left w:val="single" w:sz="4" w:space="0" w:color="auto"/>
              <w:bottom w:val="single" w:sz="4" w:space="0" w:color="auto"/>
              <w:right w:val="single" w:sz="4" w:space="0" w:color="auto"/>
            </w:tcBorders>
            <w:hideMark/>
          </w:tcPr>
          <w:p w14:paraId="25B40CA3" w14:textId="3CD3B1D6" w:rsidR="00EE7EC5" w:rsidRPr="004B15DF" w:rsidRDefault="00EE7EC5" w:rsidP="00FB613D">
            <w:pPr>
              <w:spacing w:after="200" w:line="276" w:lineRule="auto"/>
            </w:pPr>
            <w:r w:rsidRPr="004B15DF">
              <w:t>£</w:t>
            </w:r>
            <w:r w:rsidR="00517111">
              <w:t>43,43</w:t>
            </w:r>
            <w:r w:rsidR="004C1E0A">
              <w:t>1</w:t>
            </w:r>
            <w:r w:rsidRPr="004B15DF">
              <w:t xml:space="preserve"> – £150,000</w:t>
            </w:r>
          </w:p>
        </w:tc>
        <w:tc>
          <w:tcPr>
            <w:tcW w:w="709" w:type="dxa"/>
            <w:tcBorders>
              <w:top w:val="single" w:sz="4" w:space="0" w:color="auto"/>
              <w:left w:val="single" w:sz="4" w:space="0" w:color="auto"/>
              <w:bottom w:val="single" w:sz="4" w:space="0" w:color="auto"/>
              <w:right w:val="single" w:sz="4" w:space="0" w:color="auto"/>
            </w:tcBorders>
            <w:hideMark/>
          </w:tcPr>
          <w:p w14:paraId="0755871C" w14:textId="77777777" w:rsidR="00EE7EC5" w:rsidRPr="004B15DF" w:rsidRDefault="00EE7EC5" w:rsidP="00EF29FF">
            <w:pPr>
              <w:spacing w:after="200" w:line="276" w:lineRule="auto"/>
            </w:pPr>
            <w:r w:rsidRPr="004B15DF">
              <w:t>41%</w:t>
            </w:r>
          </w:p>
        </w:tc>
      </w:tr>
      <w:tr w:rsidR="004B5EA6" w:rsidRPr="004B15DF" w14:paraId="4870EB3D" w14:textId="77777777" w:rsidTr="00FB613D">
        <w:trPr>
          <w:trHeight w:val="85"/>
        </w:trPr>
        <w:tc>
          <w:tcPr>
            <w:tcW w:w="1951" w:type="dxa"/>
            <w:tcBorders>
              <w:top w:val="single" w:sz="4" w:space="0" w:color="auto"/>
              <w:left w:val="single" w:sz="4" w:space="0" w:color="auto"/>
              <w:bottom w:val="single" w:sz="4" w:space="0" w:color="auto"/>
              <w:right w:val="single" w:sz="4" w:space="0" w:color="auto"/>
            </w:tcBorders>
            <w:hideMark/>
          </w:tcPr>
          <w:p w14:paraId="124C9FA7" w14:textId="79A9DA40" w:rsidR="00EE7EC5" w:rsidRPr="004B15DF" w:rsidRDefault="00FB613D" w:rsidP="00EF29FF">
            <w:pPr>
              <w:spacing w:after="200" w:line="276" w:lineRule="auto"/>
            </w:pPr>
            <w:r>
              <w:t>Additional rate</w:t>
            </w:r>
          </w:p>
        </w:tc>
        <w:tc>
          <w:tcPr>
            <w:tcW w:w="2253" w:type="dxa"/>
            <w:tcBorders>
              <w:top w:val="single" w:sz="4" w:space="0" w:color="auto"/>
              <w:left w:val="single" w:sz="4" w:space="0" w:color="auto"/>
              <w:bottom w:val="single" w:sz="4" w:space="0" w:color="auto"/>
              <w:right w:val="single" w:sz="4" w:space="0" w:color="auto"/>
            </w:tcBorders>
          </w:tcPr>
          <w:p w14:paraId="20957F3E" w14:textId="6E90AD44" w:rsidR="00EE7EC5" w:rsidRPr="004B15DF" w:rsidRDefault="004B5EA6" w:rsidP="00C2695E">
            <w:r>
              <w:t>£150,000</w:t>
            </w:r>
          </w:p>
        </w:tc>
        <w:tc>
          <w:tcPr>
            <w:tcW w:w="724" w:type="dxa"/>
            <w:tcBorders>
              <w:top w:val="single" w:sz="4" w:space="0" w:color="auto"/>
              <w:left w:val="single" w:sz="4" w:space="0" w:color="auto"/>
              <w:bottom w:val="single" w:sz="4" w:space="0" w:color="auto"/>
              <w:right w:val="single" w:sz="4" w:space="0" w:color="auto"/>
            </w:tcBorders>
          </w:tcPr>
          <w:p w14:paraId="223F427F" w14:textId="4F2AB561" w:rsidR="00EE7EC5" w:rsidRPr="004B15DF" w:rsidRDefault="004B5EA6" w:rsidP="00C2695E">
            <w:r>
              <w:t>46%</w:t>
            </w:r>
          </w:p>
        </w:tc>
        <w:tc>
          <w:tcPr>
            <w:tcW w:w="2268" w:type="dxa"/>
            <w:tcBorders>
              <w:top w:val="single" w:sz="4" w:space="0" w:color="auto"/>
              <w:left w:val="single" w:sz="4" w:space="0" w:color="auto"/>
              <w:bottom w:val="single" w:sz="4" w:space="0" w:color="auto"/>
              <w:right w:val="single" w:sz="4" w:space="0" w:color="auto"/>
            </w:tcBorders>
            <w:hideMark/>
          </w:tcPr>
          <w:p w14:paraId="6FE6B4DC" w14:textId="7CCCC956" w:rsidR="00EE7EC5" w:rsidRPr="004B15DF" w:rsidRDefault="00EE7EC5" w:rsidP="00C2695E">
            <w:pPr>
              <w:spacing w:after="200" w:line="276" w:lineRule="auto"/>
            </w:pPr>
            <w:r w:rsidRPr="004B15DF">
              <w:t>£150,000</w:t>
            </w:r>
          </w:p>
        </w:tc>
        <w:tc>
          <w:tcPr>
            <w:tcW w:w="709" w:type="dxa"/>
            <w:tcBorders>
              <w:top w:val="single" w:sz="4" w:space="0" w:color="auto"/>
              <w:left w:val="single" w:sz="4" w:space="0" w:color="auto"/>
              <w:bottom w:val="single" w:sz="4" w:space="0" w:color="auto"/>
              <w:right w:val="single" w:sz="4" w:space="0" w:color="auto"/>
            </w:tcBorders>
            <w:hideMark/>
          </w:tcPr>
          <w:p w14:paraId="00B55B01" w14:textId="77777777" w:rsidR="00EE7EC5" w:rsidRPr="004B15DF" w:rsidRDefault="00EE7EC5" w:rsidP="00EF29FF">
            <w:pPr>
              <w:spacing w:after="200" w:line="276" w:lineRule="auto"/>
            </w:pPr>
            <w:r w:rsidRPr="004B15DF">
              <w:t>46%</w:t>
            </w:r>
          </w:p>
        </w:tc>
      </w:tr>
    </w:tbl>
    <w:p w14:paraId="2EFD4DA4" w14:textId="77777777" w:rsidR="00991F8C" w:rsidRPr="00A652F2" w:rsidRDefault="00991F8C" w:rsidP="00991F8C">
      <w:pPr>
        <w:rPr>
          <w:i/>
          <w:sz w:val="16"/>
          <w:szCs w:val="16"/>
        </w:rPr>
      </w:pPr>
      <w:r w:rsidRPr="00A652F2">
        <w:rPr>
          <w:i/>
          <w:sz w:val="16"/>
          <w:szCs w:val="16"/>
        </w:rPr>
        <w:t>*</w:t>
      </w:r>
      <w:r w:rsidR="00D74536" w:rsidRPr="00A652F2">
        <w:rPr>
          <w:i/>
          <w:sz w:val="16"/>
          <w:szCs w:val="16"/>
        </w:rPr>
        <w:t xml:space="preserve"> </w:t>
      </w:r>
      <w:r w:rsidRPr="00A652F2">
        <w:rPr>
          <w:i/>
          <w:sz w:val="16"/>
          <w:szCs w:val="16"/>
        </w:rPr>
        <w:t xml:space="preserve">Assumes individuals are in receipt of the personal allowance. </w:t>
      </w:r>
    </w:p>
    <w:p w14:paraId="469860A6" w14:textId="77777777" w:rsidR="002E2CD1" w:rsidRPr="00D5313C" w:rsidRDefault="002E2CD1" w:rsidP="00D5313C">
      <w:pPr>
        <w:pStyle w:val="Header"/>
        <w:tabs>
          <w:tab w:val="left" w:pos="720"/>
        </w:tabs>
        <w:spacing w:after="200" w:line="276" w:lineRule="auto"/>
        <w:rPr>
          <w:rFonts w:ascii="Times New Roman" w:hAnsi="Times New Roman" w:cs="Times New Roman"/>
          <w:b/>
        </w:rPr>
      </w:pPr>
      <w:r w:rsidRPr="00D5313C">
        <w:rPr>
          <w:b/>
        </w:rPr>
        <w:t>Allowances that reduce taxable income or are not taxable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2"/>
        <w:gridCol w:w="1985"/>
        <w:gridCol w:w="1985"/>
      </w:tblGrid>
      <w:tr w:rsidR="005707CD" w14:paraId="207431A5" w14:textId="77777777" w:rsidTr="00B578ED">
        <w:tc>
          <w:tcPr>
            <w:tcW w:w="4892" w:type="dxa"/>
            <w:shd w:val="clear" w:color="auto" w:fill="D9D9D9"/>
          </w:tcPr>
          <w:p w14:paraId="5EC09280" w14:textId="77777777" w:rsidR="005707CD" w:rsidRDefault="005707CD" w:rsidP="002E2CD1">
            <w:pPr>
              <w:spacing w:after="0" w:line="240" w:lineRule="auto"/>
              <w:rPr>
                <w:rFonts w:ascii="Times New Roman" w:hAnsi="Times New Roman" w:cs="Times New Roman"/>
              </w:rPr>
            </w:pPr>
          </w:p>
        </w:tc>
        <w:tc>
          <w:tcPr>
            <w:tcW w:w="1985" w:type="dxa"/>
            <w:shd w:val="clear" w:color="auto" w:fill="D9D9D9"/>
          </w:tcPr>
          <w:p w14:paraId="1CC11C4F" w14:textId="77777777" w:rsidR="005707CD" w:rsidRDefault="005707CD" w:rsidP="002E2CD1">
            <w:pPr>
              <w:spacing w:after="0" w:line="240" w:lineRule="auto"/>
              <w:rPr>
                <w:b/>
                <w:bCs/>
              </w:rPr>
            </w:pPr>
            <w:r>
              <w:rPr>
                <w:b/>
                <w:bCs/>
              </w:rPr>
              <w:t>2019/20</w:t>
            </w:r>
          </w:p>
        </w:tc>
        <w:tc>
          <w:tcPr>
            <w:tcW w:w="1985" w:type="dxa"/>
            <w:shd w:val="clear" w:color="auto" w:fill="D9D9D9"/>
          </w:tcPr>
          <w:p w14:paraId="3767B414" w14:textId="77777777" w:rsidR="005707CD" w:rsidRDefault="005707CD" w:rsidP="002E2CD1">
            <w:pPr>
              <w:spacing w:after="0" w:line="240" w:lineRule="auto"/>
              <w:rPr>
                <w:b/>
                <w:bCs/>
              </w:rPr>
            </w:pPr>
            <w:r>
              <w:rPr>
                <w:b/>
                <w:bCs/>
              </w:rPr>
              <w:t>2018/19</w:t>
            </w:r>
          </w:p>
        </w:tc>
      </w:tr>
      <w:tr w:rsidR="005707CD" w14:paraId="268F5749" w14:textId="77777777" w:rsidTr="00B578ED">
        <w:trPr>
          <w:trHeight w:val="273"/>
        </w:trPr>
        <w:tc>
          <w:tcPr>
            <w:tcW w:w="4892" w:type="dxa"/>
          </w:tcPr>
          <w:p w14:paraId="24A13A45" w14:textId="77777777" w:rsidR="005707CD" w:rsidRDefault="005707CD" w:rsidP="002E2CD1">
            <w:pPr>
              <w:spacing w:after="0" w:line="240" w:lineRule="auto"/>
            </w:pPr>
            <w:r>
              <w:t>Personal allowance*</w:t>
            </w:r>
          </w:p>
        </w:tc>
        <w:tc>
          <w:tcPr>
            <w:tcW w:w="1985" w:type="dxa"/>
          </w:tcPr>
          <w:p w14:paraId="58452CCD" w14:textId="5016D761" w:rsidR="005707CD" w:rsidRPr="002E2CD1" w:rsidRDefault="00F81431" w:rsidP="002E2CD1">
            <w:pPr>
              <w:spacing w:after="0" w:line="240" w:lineRule="auto"/>
              <w:rPr>
                <w:rFonts w:asciiTheme="minorHAnsi" w:hAnsiTheme="minorHAnsi" w:cstheme="minorHAnsi"/>
              </w:rPr>
            </w:pPr>
            <w:r>
              <w:rPr>
                <w:rFonts w:asciiTheme="minorHAnsi" w:hAnsiTheme="minorHAnsi" w:cstheme="minorHAnsi"/>
              </w:rPr>
              <w:t>£12,500</w:t>
            </w:r>
          </w:p>
        </w:tc>
        <w:tc>
          <w:tcPr>
            <w:tcW w:w="1985" w:type="dxa"/>
          </w:tcPr>
          <w:p w14:paraId="70D4961A"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£11,850</w:t>
            </w:r>
          </w:p>
        </w:tc>
      </w:tr>
      <w:tr w:rsidR="005707CD" w14:paraId="1C4DB704" w14:textId="77777777" w:rsidTr="00B578ED">
        <w:tc>
          <w:tcPr>
            <w:tcW w:w="4892" w:type="dxa"/>
          </w:tcPr>
          <w:p w14:paraId="64145E77" w14:textId="1A790DCC" w:rsidR="005707CD" w:rsidRDefault="00A652F2" w:rsidP="002E2CD1">
            <w:pPr>
              <w:spacing w:after="0" w:line="240" w:lineRule="auto"/>
            </w:pPr>
            <w:r>
              <w:t>Personal savings allowance</w:t>
            </w:r>
          </w:p>
          <w:p w14:paraId="7C78D7FD" w14:textId="2388CA6E" w:rsidR="005707CD" w:rsidRDefault="000D2F33" w:rsidP="001E071C">
            <w:pPr>
              <w:spacing w:after="0" w:line="240" w:lineRule="auto"/>
              <w:ind w:left="360"/>
            </w:pPr>
            <w:r>
              <w:t>Basic-</w:t>
            </w:r>
            <w:r w:rsidR="005707CD">
              <w:t>rate taxpayer</w:t>
            </w:r>
          </w:p>
          <w:p w14:paraId="4303002B" w14:textId="5CAA3700" w:rsidR="005707CD" w:rsidRDefault="000D2F33" w:rsidP="001E071C">
            <w:pPr>
              <w:spacing w:after="0" w:line="240" w:lineRule="auto"/>
              <w:ind w:left="360"/>
            </w:pPr>
            <w:r>
              <w:t>Higher-</w:t>
            </w:r>
            <w:r w:rsidR="005707CD">
              <w:t>rate taxpayer</w:t>
            </w:r>
          </w:p>
          <w:p w14:paraId="652A43D1" w14:textId="4EAF725C" w:rsidR="005707CD" w:rsidRDefault="005707CD" w:rsidP="001E071C">
            <w:pPr>
              <w:spacing w:after="0" w:line="240" w:lineRule="auto"/>
              <w:ind w:left="360"/>
            </w:pPr>
            <w:r>
              <w:t>Additional</w:t>
            </w:r>
            <w:r w:rsidR="000D2F33">
              <w:t>-</w:t>
            </w:r>
            <w:r>
              <w:t xml:space="preserve">rate taxpayer    </w:t>
            </w:r>
          </w:p>
        </w:tc>
        <w:tc>
          <w:tcPr>
            <w:tcW w:w="1985" w:type="dxa"/>
          </w:tcPr>
          <w:p w14:paraId="175189B2" w14:textId="77777777" w:rsidR="005707CD" w:rsidRDefault="005707CD" w:rsidP="002E2CD1">
            <w:pPr>
              <w:spacing w:after="0" w:line="240" w:lineRule="auto"/>
              <w:rPr>
                <w:rFonts w:asciiTheme="minorHAnsi" w:hAnsiTheme="minorHAnsi" w:cstheme="minorHAnsi"/>
              </w:rPr>
            </w:pPr>
          </w:p>
          <w:p w14:paraId="2E1C22E5" w14:textId="77777777" w:rsidR="00F81431" w:rsidRDefault="00F81431" w:rsidP="002E2CD1">
            <w:pPr>
              <w:spacing w:after="0" w:line="240" w:lineRule="auto"/>
              <w:rPr>
                <w:rFonts w:asciiTheme="minorHAnsi" w:hAnsiTheme="minorHAnsi" w:cstheme="minorHAnsi"/>
              </w:rPr>
            </w:pPr>
            <w:r>
              <w:rPr>
                <w:rFonts w:asciiTheme="minorHAnsi" w:hAnsiTheme="minorHAnsi" w:cstheme="minorHAnsi"/>
              </w:rPr>
              <w:t>£1,000</w:t>
            </w:r>
          </w:p>
          <w:p w14:paraId="4EF4E16B" w14:textId="77777777" w:rsidR="00F81431" w:rsidRDefault="00F81431" w:rsidP="002E2CD1">
            <w:pPr>
              <w:spacing w:after="0" w:line="240" w:lineRule="auto"/>
              <w:rPr>
                <w:rFonts w:asciiTheme="minorHAnsi" w:hAnsiTheme="minorHAnsi" w:cstheme="minorHAnsi"/>
              </w:rPr>
            </w:pPr>
            <w:r>
              <w:rPr>
                <w:rFonts w:asciiTheme="minorHAnsi" w:hAnsiTheme="minorHAnsi" w:cstheme="minorHAnsi"/>
              </w:rPr>
              <w:t>£500</w:t>
            </w:r>
          </w:p>
          <w:p w14:paraId="21788CBC" w14:textId="67E6E004" w:rsidR="00F81431" w:rsidRPr="002E2CD1" w:rsidRDefault="00F81431" w:rsidP="002E2CD1">
            <w:pPr>
              <w:spacing w:after="0" w:line="240" w:lineRule="auto"/>
              <w:rPr>
                <w:rFonts w:asciiTheme="minorHAnsi" w:hAnsiTheme="minorHAnsi" w:cstheme="minorHAnsi"/>
              </w:rPr>
            </w:pPr>
            <w:r>
              <w:rPr>
                <w:rFonts w:asciiTheme="minorHAnsi" w:hAnsiTheme="minorHAnsi" w:cstheme="minorHAnsi"/>
              </w:rPr>
              <w:t>£0</w:t>
            </w:r>
          </w:p>
        </w:tc>
        <w:tc>
          <w:tcPr>
            <w:tcW w:w="1985" w:type="dxa"/>
          </w:tcPr>
          <w:p w14:paraId="28BBB9AD" w14:textId="77777777" w:rsidR="005707CD" w:rsidRPr="002E2CD1" w:rsidRDefault="005707CD" w:rsidP="002E2CD1">
            <w:pPr>
              <w:spacing w:after="0" w:line="240" w:lineRule="auto"/>
              <w:rPr>
                <w:rFonts w:asciiTheme="minorHAnsi" w:hAnsiTheme="minorHAnsi" w:cstheme="minorHAnsi"/>
              </w:rPr>
            </w:pPr>
          </w:p>
          <w:p w14:paraId="44CEF039"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£1,000</w:t>
            </w:r>
          </w:p>
          <w:p w14:paraId="51E29465"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£500</w:t>
            </w:r>
          </w:p>
          <w:p w14:paraId="7C63D0C9"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£0</w:t>
            </w:r>
          </w:p>
        </w:tc>
      </w:tr>
      <w:tr w:rsidR="005707CD" w14:paraId="0D89D98E" w14:textId="77777777" w:rsidTr="00B578ED">
        <w:tc>
          <w:tcPr>
            <w:tcW w:w="4892" w:type="dxa"/>
          </w:tcPr>
          <w:p w14:paraId="6C72E200" w14:textId="461CC6C9" w:rsidR="005707CD" w:rsidRDefault="005707CD" w:rsidP="00D5313C">
            <w:pPr>
              <w:spacing w:after="0" w:line="240" w:lineRule="auto"/>
            </w:pPr>
            <w:r>
              <w:t>Dividend allowance at 0%</w:t>
            </w:r>
            <w:r w:rsidR="00B2637A">
              <w:t xml:space="preserve"> </w:t>
            </w:r>
            <w:r w:rsidR="000D2F33">
              <w:t>–</w:t>
            </w:r>
            <w:r w:rsidR="00B2637A">
              <w:t xml:space="preserve"> all individuals</w:t>
            </w:r>
          </w:p>
        </w:tc>
        <w:tc>
          <w:tcPr>
            <w:tcW w:w="1985" w:type="dxa"/>
          </w:tcPr>
          <w:p w14:paraId="0E551A21" w14:textId="1F2CF024" w:rsidR="005707CD" w:rsidRPr="002E2CD1" w:rsidRDefault="00F81431" w:rsidP="002E2CD1">
            <w:pPr>
              <w:spacing w:after="0" w:line="240" w:lineRule="auto"/>
              <w:rPr>
                <w:rFonts w:asciiTheme="minorHAnsi" w:hAnsiTheme="minorHAnsi" w:cstheme="minorHAnsi"/>
              </w:rPr>
            </w:pPr>
            <w:r>
              <w:rPr>
                <w:rFonts w:asciiTheme="minorHAnsi" w:hAnsiTheme="minorHAnsi" w:cstheme="minorHAnsi"/>
              </w:rPr>
              <w:t>£2,000</w:t>
            </w:r>
          </w:p>
        </w:tc>
        <w:tc>
          <w:tcPr>
            <w:tcW w:w="1985" w:type="dxa"/>
          </w:tcPr>
          <w:p w14:paraId="71D82ED7"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£2,000</w:t>
            </w:r>
          </w:p>
        </w:tc>
      </w:tr>
      <w:tr w:rsidR="005707CD" w14:paraId="60C6FD21" w14:textId="77777777" w:rsidTr="00B578ED">
        <w:tc>
          <w:tcPr>
            <w:tcW w:w="4892" w:type="dxa"/>
          </w:tcPr>
          <w:p w14:paraId="7C6BE257" w14:textId="77777777" w:rsidR="005707CD" w:rsidRDefault="005707CD" w:rsidP="002E2CD1">
            <w:pPr>
              <w:spacing w:after="0" w:line="240" w:lineRule="auto"/>
            </w:pPr>
            <w:r>
              <w:t>Marriage/civil partner transferable allowance**</w:t>
            </w:r>
          </w:p>
        </w:tc>
        <w:tc>
          <w:tcPr>
            <w:tcW w:w="1985" w:type="dxa"/>
          </w:tcPr>
          <w:p w14:paraId="51D727EE" w14:textId="1A056421" w:rsidR="005707CD" w:rsidRPr="002E2CD1" w:rsidRDefault="00F81431" w:rsidP="002E2CD1">
            <w:pPr>
              <w:spacing w:after="0" w:line="240" w:lineRule="auto"/>
              <w:rPr>
                <w:rFonts w:asciiTheme="minorHAnsi" w:hAnsiTheme="minorHAnsi" w:cstheme="minorHAnsi"/>
              </w:rPr>
            </w:pPr>
            <w:r>
              <w:rPr>
                <w:rFonts w:asciiTheme="minorHAnsi" w:hAnsiTheme="minorHAnsi" w:cstheme="minorHAnsi"/>
              </w:rPr>
              <w:t>£1,250</w:t>
            </w:r>
          </w:p>
        </w:tc>
        <w:tc>
          <w:tcPr>
            <w:tcW w:w="1985" w:type="dxa"/>
          </w:tcPr>
          <w:p w14:paraId="4623A6E8" w14:textId="2BA4C374"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£1,1</w:t>
            </w:r>
            <w:r w:rsidR="00B55519">
              <w:rPr>
                <w:rFonts w:asciiTheme="minorHAnsi" w:hAnsiTheme="minorHAnsi" w:cstheme="minorHAnsi"/>
              </w:rPr>
              <w:t>90</w:t>
            </w:r>
          </w:p>
        </w:tc>
      </w:tr>
      <w:tr w:rsidR="005707CD" w14:paraId="07BA85C6" w14:textId="77777777" w:rsidTr="00B578ED">
        <w:tc>
          <w:tcPr>
            <w:tcW w:w="4892" w:type="dxa"/>
          </w:tcPr>
          <w:p w14:paraId="4CE9B593" w14:textId="77777777" w:rsidR="005707CD" w:rsidRDefault="005707CD" w:rsidP="002E2CD1">
            <w:pPr>
              <w:spacing w:after="0" w:line="240" w:lineRule="auto"/>
            </w:pPr>
            <w:r>
              <w:t>Trading allowance and property allowance each***</w:t>
            </w:r>
          </w:p>
        </w:tc>
        <w:tc>
          <w:tcPr>
            <w:tcW w:w="1985" w:type="dxa"/>
          </w:tcPr>
          <w:p w14:paraId="3CE7B965" w14:textId="5BDF11AA" w:rsidR="005707CD" w:rsidRPr="002E2CD1" w:rsidRDefault="00F81431" w:rsidP="002E2CD1">
            <w:pPr>
              <w:spacing w:after="0" w:line="240" w:lineRule="auto"/>
              <w:rPr>
                <w:rFonts w:asciiTheme="minorHAnsi" w:hAnsiTheme="minorHAnsi" w:cstheme="minorHAnsi"/>
              </w:rPr>
            </w:pPr>
            <w:r>
              <w:rPr>
                <w:rFonts w:asciiTheme="minorHAnsi" w:hAnsiTheme="minorHAnsi" w:cstheme="minorHAnsi"/>
              </w:rPr>
              <w:t>£1,000</w:t>
            </w:r>
          </w:p>
        </w:tc>
        <w:tc>
          <w:tcPr>
            <w:tcW w:w="1985" w:type="dxa"/>
          </w:tcPr>
          <w:p w14:paraId="20C02E3C"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£1,000</w:t>
            </w:r>
          </w:p>
        </w:tc>
      </w:tr>
      <w:tr w:rsidR="005707CD" w14:paraId="14863008" w14:textId="77777777" w:rsidTr="00B578ED">
        <w:tc>
          <w:tcPr>
            <w:tcW w:w="4892" w:type="dxa"/>
          </w:tcPr>
          <w:p w14:paraId="19AAA578" w14:textId="0F443E72" w:rsidR="005707CD" w:rsidRDefault="000D2F33" w:rsidP="002E2CD1">
            <w:pPr>
              <w:spacing w:after="0" w:line="240" w:lineRule="auto"/>
            </w:pPr>
            <w:r>
              <w:t>Rent-a-</w:t>
            </w:r>
            <w:r w:rsidR="005707CD">
              <w:t>room allowance</w:t>
            </w:r>
          </w:p>
        </w:tc>
        <w:tc>
          <w:tcPr>
            <w:tcW w:w="1985" w:type="dxa"/>
          </w:tcPr>
          <w:p w14:paraId="429AAA56" w14:textId="17B59222" w:rsidR="005707CD" w:rsidRPr="002E2CD1" w:rsidRDefault="00F81431" w:rsidP="002E2CD1">
            <w:pPr>
              <w:spacing w:after="0" w:line="240" w:lineRule="auto"/>
              <w:rPr>
                <w:rFonts w:asciiTheme="minorHAnsi" w:hAnsiTheme="minorHAnsi" w:cstheme="minorHAnsi"/>
              </w:rPr>
            </w:pPr>
            <w:r>
              <w:rPr>
                <w:rFonts w:asciiTheme="minorHAnsi" w:hAnsiTheme="minorHAnsi" w:cstheme="minorHAnsi"/>
              </w:rPr>
              <w:t>£7,500</w:t>
            </w:r>
          </w:p>
        </w:tc>
        <w:tc>
          <w:tcPr>
            <w:tcW w:w="1985" w:type="dxa"/>
          </w:tcPr>
          <w:p w14:paraId="4285727E"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£7,500</w:t>
            </w:r>
          </w:p>
        </w:tc>
      </w:tr>
      <w:tr w:rsidR="005707CD" w14:paraId="2E701F3E" w14:textId="77777777" w:rsidTr="00B578ED">
        <w:tc>
          <w:tcPr>
            <w:tcW w:w="4892" w:type="dxa"/>
          </w:tcPr>
          <w:p w14:paraId="7AED57BA" w14:textId="77777777" w:rsidR="005707CD" w:rsidRDefault="005707CD" w:rsidP="002E2CD1">
            <w:pPr>
              <w:spacing w:after="0" w:line="240" w:lineRule="auto"/>
            </w:pPr>
            <w:r>
              <w:t>Blind person’s allowance</w:t>
            </w:r>
          </w:p>
        </w:tc>
        <w:tc>
          <w:tcPr>
            <w:tcW w:w="1985" w:type="dxa"/>
          </w:tcPr>
          <w:p w14:paraId="7E4B7CF1" w14:textId="2BB3E0FE" w:rsidR="005707CD" w:rsidRPr="002E2CD1" w:rsidRDefault="00F81431" w:rsidP="002E2CD1">
            <w:pPr>
              <w:spacing w:after="0" w:line="240" w:lineRule="auto"/>
              <w:rPr>
                <w:rFonts w:asciiTheme="minorHAnsi" w:hAnsiTheme="minorHAnsi" w:cstheme="minorHAnsi"/>
              </w:rPr>
            </w:pPr>
            <w:r>
              <w:rPr>
                <w:rFonts w:asciiTheme="minorHAnsi" w:hAnsiTheme="minorHAnsi" w:cstheme="minorHAnsi"/>
              </w:rPr>
              <w:t>£2,450</w:t>
            </w:r>
          </w:p>
        </w:tc>
        <w:tc>
          <w:tcPr>
            <w:tcW w:w="1985" w:type="dxa"/>
          </w:tcPr>
          <w:p w14:paraId="31052BDA"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£2,390</w:t>
            </w:r>
          </w:p>
        </w:tc>
      </w:tr>
    </w:tbl>
    <w:p w14:paraId="1E6B4738" w14:textId="6DEDA006" w:rsidR="002E2CD1" w:rsidRPr="00A652F2" w:rsidRDefault="002E2CD1" w:rsidP="002E2CD1">
      <w:pPr>
        <w:rPr>
          <w:i/>
          <w:color w:val="000000"/>
          <w:sz w:val="16"/>
          <w:szCs w:val="16"/>
        </w:rPr>
      </w:pPr>
      <w:r w:rsidRPr="00A652F2">
        <w:rPr>
          <w:i/>
          <w:color w:val="000000"/>
          <w:sz w:val="16"/>
          <w:szCs w:val="16"/>
        </w:rPr>
        <w:t>* The personal allowance is reduced by £1 for each £2 of income</w:t>
      </w:r>
      <w:r w:rsidR="005707CD" w:rsidRPr="00A652F2">
        <w:rPr>
          <w:i/>
          <w:color w:val="000000"/>
          <w:sz w:val="16"/>
          <w:szCs w:val="16"/>
        </w:rPr>
        <w:t xml:space="preserve"> from £100,000 to £12</w:t>
      </w:r>
      <w:r w:rsidR="00F81431" w:rsidRPr="00A652F2">
        <w:rPr>
          <w:i/>
          <w:color w:val="000000"/>
          <w:sz w:val="16"/>
          <w:szCs w:val="16"/>
        </w:rPr>
        <w:t>5,000</w:t>
      </w:r>
      <w:r w:rsidR="005707CD" w:rsidRPr="00A652F2">
        <w:rPr>
          <w:i/>
          <w:color w:val="000000"/>
          <w:sz w:val="16"/>
          <w:szCs w:val="16"/>
        </w:rPr>
        <w:t xml:space="preserve"> (2018/19, £123,7</w:t>
      </w:r>
      <w:r w:rsidRPr="00A652F2">
        <w:rPr>
          <w:i/>
          <w:color w:val="000000"/>
          <w:sz w:val="16"/>
          <w:szCs w:val="16"/>
        </w:rPr>
        <w:t>00).</w:t>
      </w:r>
    </w:p>
    <w:p w14:paraId="149803F1" w14:textId="635886AB" w:rsidR="002E2CD1" w:rsidRPr="00A652F2" w:rsidRDefault="002E2CD1" w:rsidP="002E2CD1">
      <w:pPr>
        <w:rPr>
          <w:i/>
          <w:color w:val="000000"/>
          <w:sz w:val="16"/>
          <w:szCs w:val="16"/>
        </w:rPr>
      </w:pPr>
      <w:r w:rsidRPr="00A652F2">
        <w:rPr>
          <w:i/>
          <w:color w:val="000000"/>
          <w:sz w:val="16"/>
          <w:szCs w:val="16"/>
        </w:rPr>
        <w:t>** Any unused personal allowance maybe transferred to a spouse or civil partner</w:t>
      </w:r>
      <w:r w:rsidR="00773F16" w:rsidRPr="00A652F2">
        <w:rPr>
          <w:i/>
          <w:color w:val="000000"/>
          <w:sz w:val="16"/>
          <w:szCs w:val="16"/>
        </w:rPr>
        <w:t xml:space="preserve">, where the recipient </w:t>
      </w:r>
      <w:r w:rsidRPr="00A652F2">
        <w:rPr>
          <w:i/>
          <w:color w:val="000000"/>
          <w:sz w:val="16"/>
          <w:szCs w:val="16"/>
        </w:rPr>
        <w:t>is not liable to higher or additional rate tax.</w:t>
      </w:r>
    </w:p>
    <w:p w14:paraId="26DBEACD" w14:textId="77777777" w:rsidR="002E2CD1" w:rsidRDefault="002E2CD1" w:rsidP="002E2CD1">
      <w:pPr>
        <w:rPr>
          <w:color w:val="000000"/>
        </w:rPr>
      </w:pPr>
      <w:r w:rsidRPr="00A652F2">
        <w:rPr>
          <w:i/>
          <w:color w:val="000000"/>
          <w:sz w:val="16"/>
          <w:szCs w:val="16"/>
        </w:rPr>
        <w:lastRenderedPageBreak/>
        <w:t>*** Note that landlords and tr</w:t>
      </w:r>
      <w:r w:rsidR="00A26E75" w:rsidRPr="00A652F2">
        <w:rPr>
          <w:i/>
          <w:color w:val="000000"/>
          <w:sz w:val="16"/>
          <w:szCs w:val="16"/>
        </w:rPr>
        <w:t>aders with gross income from each of the</w:t>
      </w:r>
      <w:r w:rsidRPr="00A652F2">
        <w:rPr>
          <w:i/>
          <w:color w:val="000000"/>
          <w:sz w:val="16"/>
          <w:szCs w:val="16"/>
        </w:rPr>
        <w:t>s</w:t>
      </w:r>
      <w:r w:rsidR="00A26E75" w:rsidRPr="00A652F2">
        <w:rPr>
          <w:i/>
          <w:color w:val="000000"/>
          <w:sz w:val="16"/>
          <w:szCs w:val="16"/>
        </w:rPr>
        <w:t>e</w:t>
      </w:r>
      <w:r w:rsidRPr="00A652F2">
        <w:rPr>
          <w:i/>
          <w:color w:val="000000"/>
          <w:sz w:val="16"/>
          <w:szCs w:val="16"/>
        </w:rPr>
        <w:t xml:space="preserve"> source</w:t>
      </w:r>
      <w:r w:rsidR="00A26E75" w:rsidRPr="00A652F2">
        <w:rPr>
          <w:i/>
          <w:color w:val="000000"/>
          <w:sz w:val="16"/>
          <w:szCs w:val="16"/>
        </w:rPr>
        <w:t>s</w:t>
      </w:r>
      <w:r w:rsidRPr="00A652F2">
        <w:rPr>
          <w:i/>
          <w:color w:val="000000"/>
          <w:sz w:val="16"/>
          <w:szCs w:val="16"/>
        </w:rPr>
        <w:t xml:space="preserve"> in excess of £1,000 can deduct the allowance from their gross income as an alternative to claiming expenses.</w:t>
      </w:r>
    </w:p>
    <w:p w14:paraId="5DCB816E" w14:textId="153D1404" w:rsidR="002E2CD1" w:rsidRPr="00D5313C" w:rsidRDefault="002E2CD1" w:rsidP="00D5313C">
      <w:pPr>
        <w:rPr>
          <w:b/>
        </w:rPr>
      </w:pPr>
      <w:r w:rsidRPr="00D5313C">
        <w:rPr>
          <w:b/>
        </w:rPr>
        <w:t>Allowance that reduce</w:t>
      </w:r>
      <w:r w:rsidR="00B50E9E">
        <w:rPr>
          <w:b/>
        </w:rPr>
        <w:t>s</w:t>
      </w:r>
      <w:r w:rsidRPr="00D5313C">
        <w:rPr>
          <w:b/>
        </w:rPr>
        <w:t xml:space="preserve"> tax</w:t>
      </w:r>
    </w:p>
    <w:tbl>
      <w:tblPr>
        <w:tblW w:w="47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1420"/>
        <w:gridCol w:w="1418"/>
      </w:tblGrid>
      <w:tr w:rsidR="005707CD" w14:paraId="47E09306" w14:textId="77777777" w:rsidTr="005707CD">
        <w:tc>
          <w:tcPr>
            <w:tcW w:w="3399" w:type="pct"/>
            <w:shd w:val="clear" w:color="auto" w:fill="D9D9D9"/>
          </w:tcPr>
          <w:p w14:paraId="63313353" w14:textId="77777777" w:rsidR="005707CD" w:rsidRDefault="005707CD" w:rsidP="002E2CD1">
            <w:pPr>
              <w:spacing w:after="0" w:line="240" w:lineRule="auto"/>
              <w:rPr>
                <w:rFonts w:ascii="Times New Roman" w:hAnsi="Times New Roman" w:cs="Times New Roman"/>
              </w:rPr>
            </w:pPr>
          </w:p>
        </w:tc>
        <w:tc>
          <w:tcPr>
            <w:tcW w:w="801" w:type="pct"/>
            <w:shd w:val="clear" w:color="auto" w:fill="D9D9D9"/>
          </w:tcPr>
          <w:p w14:paraId="718AD33D" w14:textId="77777777" w:rsidR="005707CD" w:rsidRDefault="005707CD" w:rsidP="002E2CD1">
            <w:pPr>
              <w:spacing w:after="0" w:line="240" w:lineRule="auto"/>
              <w:rPr>
                <w:b/>
                <w:bCs/>
              </w:rPr>
            </w:pPr>
            <w:r>
              <w:rPr>
                <w:b/>
                <w:bCs/>
              </w:rPr>
              <w:t>2019/20</w:t>
            </w:r>
          </w:p>
        </w:tc>
        <w:tc>
          <w:tcPr>
            <w:tcW w:w="801" w:type="pct"/>
            <w:shd w:val="clear" w:color="auto" w:fill="D9D9D9"/>
          </w:tcPr>
          <w:p w14:paraId="75D6AE10" w14:textId="77777777" w:rsidR="005707CD" w:rsidRDefault="005707CD" w:rsidP="002E2CD1">
            <w:pPr>
              <w:spacing w:after="0" w:line="240" w:lineRule="auto"/>
              <w:rPr>
                <w:b/>
                <w:bCs/>
              </w:rPr>
            </w:pPr>
            <w:r>
              <w:rPr>
                <w:b/>
                <w:bCs/>
              </w:rPr>
              <w:t>2018/19</w:t>
            </w:r>
          </w:p>
        </w:tc>
      </w:tr>
      <w:tr w:rsidR="005707CD" w14:paraId="77E0A5E2" w14:textId="77777777" w:rsidTr="005707CD">
        <w:tc>
          <w:tcPr>
            <w:tcW w:w="3399" w:type="pct"/>
          </w:tcPr>
          <w:p w14:paraId="0D7526B9" w14:textId="1159E45E" w:rsidR="005707CD" w:rsidRDefault="005707CD" w:rsidP="00A652F2">
            <w:pPr>
              <w:spacing w:after="0" w:line="240" w:lineRule="auto"/>
            </w:pPr>
            <w:r>
              <w:t xml:space="preserve">Married </w:t>
            </w:r>
            <w:r w:rsidR="00A652F2">
              <w:t>couple or civil partnership</w:t>
            </w:r>
            <w:r>
              <w:t xml:space="preserve"> allowance (MCA) </w:t>
            </w:r>
            <w:r w:rsidR="00B50E9E">
              <w:t xml:space="preserve">maximum </w:t>
            </w:r>
            <w:r>
              <w:t>tax reduction</w:t>
            </w:r>
          </w:p>
        </w:tc>
        <w:tc>
          <w:tcPr>
            <w:tcW w:w="801" w:type="pct"/>
          </w:tcPr>
          <w:p w14:paraId="625B3D01" w14:textId="29237C2C" w:rsidR="005707CD" w:rsidRPr="003B1F51" w:rsidRDefault="00F81431" w:rsidP="002E2CD1">
            <w:pPr>
              <w:spacing w:after="0" w:line="240" w:lineRule="auto"/>
              <w:rPr>
                <w:rFonts w:asciiTheme="minorHAnsi" w:hAnsiTheme="minorHAnsi" w:cstheme="minorHAnsi"/>
              </w:rPr>
            </w:pPr>
            <w:r>
              <w:rPr>
                <w:rFonts w:asciiTheme="minorHAnsi" w:hAnsiTheme="minorHAnsi" w:cstheme="minorHAnsi"/>
              </w:rPr>
              <w:t>£891.50</w:t>
            </w:r>
          </w:p>
        </w:tc>
        <w:tc>
          <w:tcPr>
            <w:tcW w:w="801" w:type="pct"/>
          </w:tcPr>
          <w:p w14:paraId="6140393C" w14:textId="77777777" w:rsidR="005707CD" w:rsidRPr="003B1F51" w:rsidRDefault="005707CD" w:rsidP="002E2CD1">
            <w:pPr>
              <w:spacing w:after="0" w:line="240" w:lineRule="auto"/>
              <w:rPr>
                <w:rFonts w:asciiTheme="minorHAnsi" w:hAnsiTheme="minorHAnsi" w:cstheme="minorHAnsi"/>
              </w:rPr>
            </w:pPr>
            <w:r w:rsidRPr="003B1F51">
              <w:rPr>
                <w:rFonts w:asciiTheme="minorHAnsi" w:hAnsiTheme="minorHAnsi" w:cstheme="minorHAnsi"/>
              </w:rPr>
              <w:t>£869.50</w:t>
            </w:r>
          </w:p>
        </w:tc>
      </w:tr>
    </w:tbl>
    <w:p w14:paraId="0048CF4F" w14:textId="04C3A4DB" w:rsidR="002E2CD1" w:rsidRDefault="002E2CD1" w:rsidP="002E2CD1">
      <w:pPr>
        <w:rPr>
          <w:color w:val="000000"/>
        </w:rPr>
      </w:pPr>
      <w:r>
        <w:rPr>
          <w:color w:val="000000"/>
        </w:rPr>
        <w:t xml:space="preserve">Available to people born before 6 April 1935. The age for MCA is that of the elder spouse or civil partner. The loss of tax reduction is 10p for each </w:t>
      </w:r>
      <w:r w:rsidR="00F81431">
        <w:rPr>
          <w:color w:val="000000"/>
        </w:rPr>
        <w:t>£2 of income above £29,600 (2018/19</w:t>
      </w:r>
      <w:r>
        <w:rPr>
          <w:color w:val="000000"/>
        </w:rPr>
        <w:t>, £28</w:t>
      </w:r>
      <w:r w:rsidR="00F81431">
        <w:rPr>
          <w:color w:val="000000"/>
        </w:rPr>
        <w:t>,900) until £345 (2018/19, £33</w:t>
      </w:r>
      <w:r>
        <w:rPr>
          <w:color w:val="000000"/>
        </w:rPr>
        <w:t>6) is reached.</w:t>
      </w:r>
    </w:p>
    <w:p w14:paraId="0445B516" w14:textId="77777777" w:rsidR="002E2CD1" w:rsidRPr="00D5313C" w:rsidRDefault="002E2CD1" w:rsidP="00D5313C">
      <w:pPr>
        <w:rPr>
          <w:b/>
        </w:rPr>
      </w:pPr>
      <w:r w:rsidRPr="00D5313C">
        <w:rPr>
          <w:b/>
        </w:rPr>
        <w:t>High income child benefit charge</w:t>
      </w:r>
    </w:p>
    <w:tbl>
      <w:tblPr>
        <w:tblW w:w="486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2834"/>
        <w:gridCol w:w="2833"/>
      </w:tblGrid>
      <w:tr w:rsidR="005707CD" w14:paraId="74C84240" w14:textId="77777777" w:rsidTr="005707CD">
        <w:tc>
          <w:tcPr>
            <w:tcW w:w="1851" w:type="pct"/>
            <w:shd w:val="clear" w:color="auto" w:fill="D9D9D9"/>
          </w:tcPr>
          <w:p w14:paraId="0140C6FE" w14:textId="77777777" w:rsidR="005707CD" w:rsidRDefault="005707CD" w:rsidP="002E2CD1">
            <w:pPr>
              <w:spacing w:after="0" w:line="240" w:lineRule="auto"/>
              <w:rPr>
                <w:rFonts w:ascii="Times New Roman" w:hAnsi="Times New Roman" w:cs="Times New Roman"/>
              </w:rPr>
            </w:pPr>
          </w:p>
        </w:tc>
        <w:tc>
          <w:tcPr>
            <w:tcW w:w="1574" w:type="pct"/>
            <w:shd w:val="clear" w:color="auto" w:fill="D9D9D9"/>
          </w:tcPr>
          <w:p w14:paraId="2D1EB063" w14:textId="77777777" w:rsidR="005707CD" w:rsidRDefault="005707CD" w:rsidP="002E2CD1">
            <w:pPr>
              <w:spacing w:after="0" w:line="240" w:lineRule="auto"/>
              <w:rPr>
                <w:b/>
                <w:bCs/>
              </w:rPr>
            </w:pPr>
            <w:r>
              <w:rPr>
                <w:b/>
                <w:bCs/>
              </w:rPr>
              <w:t>2019/20</w:t>
            </w:r>
          </w:p>
        </w:tc>
        <w:tc>
          <w:tcPr>
            <w:tcW w:w="1574" w:type="pct"/>
            <w:shd w:val="clear" w:color="auto" w:fill="D9D9D9"/>
          </w:tcPr>
          <w:p w14:paraId="0D619CC7" w14:textId="77777777" w:rsidR="005707CD" w:rsidRDefault="005707CD" w:rsidP="002E2CD1">
            <w:pPr>
              <w:spacing w:after="0" w:line="240" w:lineRule="auto"/>
              <w:rPr>
                <w:b/>
                <w:bCs/>
              </w:rPr>
            </w:pPr>
            <w:r>
              <w:rPr>
                <w:b/>
                <w:bCs/>
              </w:rPr>
              <w:t>2018/19</w:t>
            </w:r>
          </w:p>
        </w:tc>
      </w:tr>
      <w:tr w:rsidR="005707CD" w14:paraId="25B11C7E" w14:textId="77777777" w:rsidTr="005707CD">
        <w:tc>
          <w:tcPr>
            <w:tcW w:w="1851" w:type="pct"/>
          </w:tcPr>
          <w:p w14:paraId="41A287C9" w14:textId="77777777" w:rsidR="005707CD" w:rsidRDefault="005707CD" w:rsidP="002E2CD1">
            <w:pPr>
              <w:spacing w:after="0" w:line="240" w:lineRule="auto"/>
            </w:pPr>
            <w:r>
              <w:t>Threshold</w:t>
            </w:r>
          </w:p>
        </w:tc>
        <w:tc>
          <w:tcPr>
            <w:tcW w:w="1574" w:type="pct"/>
          </w:tcPr>
          <w:p w14:paraId="134011A6" w14:textId="46D71680" w:rsidR="005707CD" w:rsidRPr="003B1F51" w:rsidRDefault="00F81431" w:rsidP="002E2CD1">
            <w:pPr>
              <w:spacing w:after="0" w:line="240" w:lineRule="auto"/>
              <w:rPr>
                <w:rFonts w:asciiTheme="minorHAnsi" w:hAnsiTheme="minorHAnsi" w:cstheme="minorHAnsi"/>
              </w:rPr>
            </w:pPr>
            <w:r>
              <w:rPr>
                <w:rFonts w:asciiTheme="minorHAnsi" w:hAnsiTheme="minorHAnsi" w:cstheme="minorHAnsi"/>
              </w:rPr>
              <w:t>£50,000</w:t>
            </w:r>
          </w:p>
        </w:tc>
        <w:tc>
          <w:tcPr>
            <w:tcW w:w="1574" w:type="pct"/>
          </w:tcPr>
          <w:p w14:paraId="1BF1C8CD" w14:textId="77777777" w:rsidR="005707CD" w:rsidRPr="003B1F51" w:rsidRDefault="005707CD" w:rsidP="002E2CD1">
            <w:pPr>
              <w:spacing w:after="0" w:line="240" w:lineRule="auto"/>
              <w:rPr>
                <w:rFonts w:asciiTheme="minorHAnsi" w:hAnsiTheme="minorHAnsi" w:cstheme="minorHAnsi"/>
              </w:rPr>
            </w:pPr>
            <w:r w:rsidRPr="003B1F51">
              <w:rPr>
                <w:rFonts w:asciiTheme="minorHAnsi" w:hAnsiTheme="minorHAnsi" w:cstheme="minorHAnsi"/>
              </w:rPr>
              <w:t>£50,000</w:t>
            </w:r>
          </w:p>
        </w:tc>
      </w:tr>
    </w:tbl>
    <w:p w14:paraId="169ED435" w14:textId="77777777" w:rsidR="002E2CD1" w:rsidRDefault="002E2CD1" w:rsidP="002E2CD1">
      <w:pPr>
        <w:rPr>
          <w:rFonts w:ascii="Times New Roman" w:hAnsi="Times New Roman" w:cs="Times New Roman"/>
        </w:rPr>
      </w:pPr>
      <w:r>
        <w:t xml:space="preserve">There is a tax charge of 1% of the child benefit received for each £100 that the threshold is exceeded up to a maximum of 100%. </w:t>
      </w:r>
    </w:p>
    <w:p w14:paraId="663FC533" w14:textId="77777777" w:rsidR="002E2CD1" w:rsidRDefault="002E2CD1" w:rsidP="000D2F33">
      <w:pPr>
        <w:pStyle w:val="Heading2"/>
      </w:pPr>
      <w:r>
        <w:t xml:space="preserve">VEHICLE AND FUEL BENEFITS IN KIND </w:t>
      </w:r>
    </w:p>
    <w:p w14:paraId="369161B9" w14:textId="77777777" w:rsidR="000D2F33" w:rsidRDefault="002E2CD1" w:rsidP="002E2CD1">
      <w:r>
        <w:t xml:space="preserve">The taxable </w:t>
      </w:r>
      <w:r w:rsidR="00D5313C">
        <w:t xml:space="preserve">benefit in kind </w:t>
      </w:r>
      <w:r>
        <w:t xml:space="preserve">is calculated as a percentage of the car’s UK list price. </w:t>
      </w:r>
    </w:p>
    <w:p w14:paraId="377D2E76" w14:textId="025EBDFE" w:rsidR="002E2CD1" w:rsidRDefault="002E2CD1" w:rsidP="002E2CD1">
      <w:pPr>
        <w:rPr>
          <w:rFonts w:ascii="Times New Roman" w:hAnsi="Times New Roman" w:cs="Times New Roman"/>
          <w:color w:val="FF0000"/>
        </w:rPr>
      </w:pPr>
      <w:r>
        <w:t>The percentage depends on the car’s CO</w:t>
      </w:r>
      <w:r>
        <w:rPr>
          <w:b/>
          <w:bCs/>
          <w:vertAlign w:val="subscript"/>
        </w:rPr>
        <w:t>2</w:t>
      </w:r>
      <w:r>
        <w:t xml:space="preserve"> emissions in grams per kilometre (g/km). Diesel cars which are certified to RDE2 standard are treated as petrol</w:t>
      </w:r>
      <w:r w:rsidR="00D74536">
        <w:t>-</w:t>
      </w:r>
      <w:r>
        <w:t>fuelled.</w:t>
      </w:r>
    </w:p>
    <w:tbl>
      <w:tblPr>
        <w:tblW w:w="33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557"/>
        <w:gridCol w:w="1419"/>
      </w:tblGrid>
      <w:tr w:rsidR="002E2CD1" w14:paraId="6819CE92" w14:textId="77777777" w:rsidTr="00D97F2F">
        <w:trPr>
          <w:trHeight w:val="391"/>
        </w:trPr>
        <w:tc>
          <w:tcPr>
            <w:tcW w:w="2588" w:type="pct"/>
            <w:shd w:val="clear" w:color="auto" w:fill="D9D9D9"/>
          </w:tcPr>
          <w:p w14:paraId="586C4526" w14:textId="63DF1DA8" w:rsidR="002E2CD1" w:rsidRDefault="00A272E3" w:rsidP="002E2CD1">
            <w:pPr>
              <w:spacing w:after="0" w:line="240" w:lineRule="auto"/>
              <w:rPr>
                <w:b/>
                <w:bCs/>
                <w:color w:val="000000"/>
              </w:rPr>
            </w:pPr>
            <w:r>
              <w:rPr>
                <w:b/>
                <w:bCs/>
                <w:color w:val="000000"/>
              </w:rPr>
              <w:t xml:space="preserve">CO2 </w:t>
            </w:r>
            <w:r w:rsidR="002E2CD1">
              <w:rPr>
                <w:b/>
                <w:bCs/>
                <w:color w:val="000000"/>
              </w:rPr>
              <w:t>Emissions</w:t>
            </w:r>
            <w:r>
              <w:rPr>
                <w:b/>
                <w:bCs/>
                <w:color w:val="000000"/>
              </w:rPr>
              <w:t xml:space="preserve"> (g/km)</w:t>
            </w:r>
          </w:p>
        </w:tc>
        <w:tc>
          <w:tcPr>
            <w:tcW w:w="1262" w:type="pct"/>
            <w:shd w:val="clear" w:color="auto" w:fill="D9D9D9"/>
          </w:tcPr>
          <w:p w14:paraId="4CA5AC4E" w14:textId="77777777" w:rsidR="002E2CD1" w:rsidRDefault="002E2CD1" w:rsidP="002E2CD1">
            <w:pPr>
              <w:spacing w:after="0" w:line="240" w:lineRule="auto"/>
              <w:rPr>
                <w:b/>
                <w:bCs/>
                <w:color w:val="000000"/>
              </w:rPr>
            </w:pPr>
            <w:r>
              <w:rPr>
                <w:b/>
                <w:bCs/>
                <w:color w:val="000000"/>
              </w:rPr>
              <w:t xml:space="preserve">Petrol               </w:t>
            </w:r>
          </w:p>
        </w:tc>
        <w:tc>
          <w:tcPr>
            <w:tcW w:w="1150" w:type="pct"/>
            <w:shd w:val="clear" w:color="auto" w:fill="D9D9D9"/>
          </w:tcPr>
          <w:p w14:paraId="0ACFFC96" w14:textId="77777777" w:rsidR="002E2CD1" w:rsidRDefault="002E2CD1" w:rsidP="002E2CD1">
            <w:pPr>
              <w:spacing w:after="0" w:line="240" w:lineRule="auto"/>
              <w:rPr>
                <w:b/>
                <w:bCs/>
                <w:color w:val="000000"/>
              </w:rPr>
            </w:pPr>
            <w:r>
              <w:rPr>
                <w:b/>
                <w:bCs/>
                <w:color w:val="000000"/>
              </w:rPr>
              <w:t>Diesel</w:t>
            </w:r>
          </w:p>
        </w:tc>
      </w:tr>
      <w:tr w:rsidR="002E2CD1" w14:paraId="10EF44A5" w14:textId="77777777" w:rsidTr="00D97F2F">
        <w:tc>
          <w:tcPr>
            <w:tcW w:w="2588" w:type="pct"/>
          </w:tcPr>
          <w:p w14:paraId="4116AD34" w14:textId="31676B5A" w:rsidR="002E2CD1" w:rsidRDefault="00A272E3" w:rsidP="007A188F">
            <w:pPr>
              <w:spacing w:after="0" w:line="240" w:lineRule="auto"/>
              <w:rPr>
                <w:color w:val="000000"/>
              </w:rPr>
            </w:pPr>
            <w:r>
              <w:rPr>
                <w:color w:val="000000"/>
              </w:rPr>
              <w:t>0 – 50</w:t>
            </w:r>
          </w:p>
        </w:tc>
        <w:tc>
          <w:tcPr>
            <w:tcW w:w="1262" w:type="pct"/>
          </w:tcPr>
          <w:p w14:paraId="1DFF6887" w14:textId="759C9566" w:rsidR="002E2CD1" w:rsidRDefault="00F81431" w:rsidP="002E2CD1">
            <w:pPr>
              <w:spacing w:after="0" w:line="240" w:lineRule="auto"/>
              <w:rPr>
                <w:color w:val="000000"/>
              </w:rPr>
            </w:pPr>
            <w:r>
              <w:rPr>
                <w:color w:val="000000"/>
              </w:rPr>
              <w:t>16</w:t>
            </w:r>
            <w:r w:rsidR="002E2CD1">
              <w:rPr>
                <w:color w:val="000000"/>
              </w:rPr>
              <w:t xml:space="preserve">%                       </w:t>
            </w:r>
          </w:p>
        </w:tc>
        <w:tc>
          <w:tcPr>
            <w:tcW w:w="1150" w:type="pct"/>
          </w:tcPr>
          <w:p w14:paraId="6A59C534" w14:textId="2B29EA2A" w:rsidR="002E2CD1" w:rsidRDefault="00F81431" w:rsidP="002E2CD1">
            <w:pPr>
              <w:spacing w:after="0" w:line="240" w:lineRule="auto"/>
              <w:rPr>
                <w:color w:val="000000"/>
              </w:rPr>
            </w:pPr>
            <w:r>
              <w:rPr>
                <w:color w:val="000000"/>
              </w:rPr>
              <w:t>20</w:t>
            </w:r>
            <w:r w:rsidR="002E2CD1">
              <w:rPr>
                <w:color w:val="000000"/>
              </w:rPr>
              <w:t>%</w:t>
            </w:r>
          </w:p>
        </w:tc>
      </w:tr>
      <w:tr w:rsidR="002E2CD1" w14:paraId="7624D3CB" w14:textId="77777777" w:rsidTr="00D97F2F">
        <w:tc>
          <w:tcPr>
            <w:tcW w:w="2588" w:type="pct"/>
          </w:tcPr>
          <w:p w14:paraId="46291EDF" w14:textId="47660F58" w:rsidR="002E2CD1" w:rsidRDefault="00A272E3" w:rsidP="002E2CD1">
            <w:pPr>
              <w:spacing w:after="0" w:line="240" w:lineRule="auto"/>
              <w:rPr>
                <w:color w:val="000000"/>
              </w:rPr>
            </w:pPr>
            <w:r>
              <w:rPr>
                <w:color w:val="000000"/>
              </w:rPr>
              <w:t>51 – 75</w:t>
            </w:r>
          </w:p>
        </w:tc>
        <w:tc>
          <w:tcPr>
            <w:tcW w:w="1262" w:type="pct"/>
          </w:tcPr>
          <w:p w14:paraId="32921BF1" w14:textId="40766224" w:rsidR="002E2CD1" w:rsidRDefault="00F81431" w:rsidP="002E2CD1">
            <w:pPr>
              <w:spacing w:after="0" w:line="240" w:lineRule="auto"/>
              <w:rPr>
                <w:color w:val="000000"/>
              </w:rPr>
            </w:pPr>
            <w:r>
              <w:rPr>
                <w:color w:val="000000"/>
              </w:rPr>
              <w:t>19</w:t>
            </w:r>
            <w:r w:rsidR="002E2CD1">
              <w:rPr>
                <w:color w:val="000000"/>
              </w:rPr>
              <w:t xml:space="preserve">%                    </w:t>
            </w:r>
          </w:p>
        </w:tc>
        <w:tc>
          <w:tcPr>
            <w:tcW w:w="1150" w:type="pct"/>
          </w:tcPr>
          <w:p w14:paraId="2A46B89B" w14:textId="320E7433" w:rsidR="002E2CD1" w:rsidRDefault="00F81431" w:rsidP="002E2CD1">
            <w:pPr>
              <w:spacing w:after="0" w:line="240" w:lineRule="auto"/>
              <w:rPr>
                <w:color w:val="000000"/>
              </w:rPr>
            </w:pPr>
            <w:r>
              <w:rPr>
                <w:color w:val="000000"/>
              </w:rPr>
              <w:t>23</w:t>
            </w:r>
            <w:r w:rsidR="002E2CD1">
              <w:rPr>
                <w:color w:val="000000"/>
              </w:rPr>
              <w:t>%</w:t>
            </w:r>
          </w:p>
        </w:tc>
      </w:tr>
      <w:tr w:rsidR="002E2CD1" w14:paraId="1B544290" w14:textId="77777777" w:rsidTr="00D97F2F">
        <w:tc>
          <w:tcPr>
            <w:tcW w:w="2588" w:type="pct"/>
          </w:tcPr>
          <w:p w14:paraId="7DDE0981" w14:textId="5294FDE0" w:rsidR="002E2CD1" w:rsidRDefault="00A272E3" w:rsidP="002E2CD1">
            <w:pPr>
              <w:spacing w:after="0" w:line="240" w:lineRule="auto"/>
              <w:rPr>
                <w:color w:val="000000"/>
              </w:rPr>
            </w:pPr>
            <w:r>
              <w:rPr>
                <w:color w:val="000000"/>
              </w:rPr>
              <w:t>76 – 94</w:t>
            </w:r>
          </w:p>
        </w:tc>
        <w:tc>
          <w:tcPr>
            <w:tcW w:w="1262" w:type="pct"/>
          </w:tcPr>
          <w:p w14:paraId="4A1F9652" w14:textId="49A48646" w:rsidR="002E2CD1" w:rsidRDefault="00F81431" w:rsidP="002E2CD1">
            <w:pPr>
              <w:spacing w:after="0" w:line="240" w:lineRule="auto"/>
              <w:rPr>
                <w:color w:val="000000"/>
              </w:rPr>
            </w:pPr>
            <w:r>
              <w:rPr>
                <w:color w:val="000000"/>
              </w:rPr>
              <w:t>22</w:t>
            </w:r>
            <w:r w:rsidR="002E2CD1">
              <w:rPr>
                <w:color w:val="000000"/>
              </w:rPr>
              <w:t xml:space="preserve">%                     </w:t>
            </w:r>
          </w:p>
        </w:tc>
        <w:tc>
          <w:tcPr>
            <w:tcW w:w="1150" w:type="pct"/>
          </w:tcPr>
          <w:p w14:paraId="38D69664" w14:textId="7D2A67C4" w:rsidR="002E2CD1" w:rsidRDefault="00F81431" w:rsidP="002E2CD1">
            <w:pPr>
              <w:spacing w:after="0" w:line="240" w:lineRule="auto"/>
              <w:rPr>
                <w:color w:val="000000"/>
              </w:rPr>
            </w:pPr>
            <w:r>
              <w:rPr>
                <w:color w:val="000000"/>
              </w:rPr>
              <w:t>26</w:t>
            </w:r>
            <w:r w:rsidR="002E2CD1">
              <w:rPr>
                <w:color w:val="000000"/>
              </w:rPr>
              <w:t>%</w:t>
            </w:r>
          </w:p>
        </w:tc>
      </w:tr>
      <w:tr w:rsidR="00A272E3" w14:paraId="1CF7D8CB" w14:textId="6B6572AC" w:rsidTr="00D97F2F">
        <w:tc>
          <w:tcPr>
            <w:tcW w:w="2588" w:type="pct"/>
          </w:tcPr>
          <w:p w14:paraId="0A8A45B0" w14:textId="59FDED70" w:rsidR="00A272E3" w:rsidRDefault="00D97F2F" w:rsidP="00DB2F80">
            <w:pPr>
              <w:spacing w:after="0" w:line="240" w:lineRule="auto"/>
              <w:rPr>
                <w:color w:val="000000"/>
              </w:rPr>
            </w:pPr>
            <w:r>
              <w:rPr>
                <w:color w:val="000000"/>
              </w:rPr>
              <w:t>Over 94</w:t>
            </w:r>
          </w:p>
        </w:tc>
        <w:tc>
          <w:tcPr>
            <w:tcW w:w="2412" w:type="pct"/>
            <w:gridSpan w:val="2"/>
          </w:tcPr>
          <w:p w14:paraId="2DED32F0" w14:textId="021D1E6D" w:rsidR="00A272E3" w:rsidRDefault="00D97F2F" w:rsidP="00D97F2F">
            <w:pPr>
              <w:pStyle w:val="Header"/>
              <w:tabs>
                <w:tab w:val="left" w:pos="720"/>
              </w:tabs>
              <w:jc w:val="center"/>
              <w:rPr>
                <w:color w:val="000000"/>
              </w:rPr>
            </w:pPr>
            <w:r>
              <w:rPr>
                <w:color w:val="000000"/>
              </w:rPr>
              <w:t xml:space="preserve">Add 1% for every 5g/km </w:t>
            </w:r>
          </w:p>
        </w:tc>
      </w:tr>
      <w:tr w:rsidR="00A272E3" w14:paraId="4C03360A" w14:textId="5BEFF681" w:rsidTr="00D97F2F">
        <w:tc>
          <w:tcPr>
            <w:tcW w:w="2588" w:type="pct"/>
          </w:tcPr>
          <w:p w14:paraId="6B449F29" w14:textId="6C399236" w:rsidR="00A272E3" w:rsidRDefault="00B50E9E" w:rsidP="00B50E9E">
            <w:pPr>
              <w:spacing w:after="0" w:line="240" w:lineRule="auto"/>
              <w:rPr>
                <w:color w:val="000000"/>
              </w:rPr>
            </w:pPr>
            <w:r>
              <w:rPr>
                <w:color w:val="000000"/>
              </w:rPr>
              <w:t>Over</w:t>
            </w:r>
            <w:r w:rsidR="00D97F2F">
              <w:rPr>
                <w:color w:val="000000"/>
              </w:rPr>
              <w:t xml:space="preserve"> 165 (petrol), 145 (diesel)</w:t>
            </w:r>
          </w:p>
        </w:tc>
        <w:tc>
          <w:tcPr>
            <w:tcW w:w="2412" w:type="pct"/>
            <w:gridSpan w:val="2"/>
          </w:tcPr>
          <w:p w14:paraId="1FD090FA" w14:textId="5AEF97E3" w:rsidR="00A272E3" w:rsidRDefault="00A272E3" w:rsidP="00A272E3">
            <w:pPr>
              <w:spacing w:after="0" w:line="240" w:lineRule="auto"/>
              <w:ind w:left="452"/>
              <w:jc w:val="center"/>
              <w:rPr>
                <w:color w:val="000000"/>
              </w:rPr>
            </w:pPr>
            <w:r>
              <w:rPr>
                <w:color w:val="000000"/>
              </w:rPr>
              <w:t>37%</w:t>
            </w:r>
          </w:p>
        </w:tc>
      </w:tr>
    </w:tbl>
    <w:p w14:paraId="409AB334" w14:textId="77777777" w:rsidR="00A652F2" w:rsidRDefault="00A652F2" w:rsidP="002E2CD1">
      <w:pPr>
        <w:pStyle w:val="Header"/>
        <w:tabs>
          <w:tab w:val="left" w:pos="720"/>
        </w:tabs>
        <w:spacing w:after="200" w:line="276" w:lineRule="auto"/>
        <w:rPr>
          <w:color w:val="000000"/>
        </w:rPr>
      </w:pPr>
    </w:p>
    <w:p w14:paraId="6664E058" w14:textId="77777777" w:rsidR="002E2CD1" w:rsidRDefault="002E2CD1" w:rsidP="002E2CD1">
      <w:pPr>
        <w:pStyle w:val="Header"/>
        <w:tabs>
          <w:tab w:val="left" w:pos="720"/>
        </w:tabs>
        <w:spacing w:after="200" w:line="276" w:lineRule="auto"/>
        <w:rPr>
          <w:color w:val="000000"/>
        </w:rPr>
      </w:pPr>
      <w:r>
        <w:rPr>
          <w:color w:val="000000"/>
        </w:rPr>
        <w:t>The list price is on the day before first registration, including most accessories and is reduced by any employee’s capital contribution (max £5,000) when the car is first made available.</w:t>
      </w:r>
    </w:p>
    <w:p w14:paraId="46FF84DB" w14:textId="730242C9" w:rsidR="002E2CD1" w:rsidRDefault="002E2CD1" w:rsidP="002E2CD1">
      <w:pPr>
        <w:rPr>
          <w:color w:val="000000"/>
        </w:rPr>
      </w:pPr>
      <w:r>
        <w:rPr>
          <w:color w:val="000000"/>
        </w:rPr>
        <w:t xml:space="preserve">Where the cost of all fuel for private use is borne by the employee, the fuel benefit is nil. Otherwise, the fuel benefit is calculated by applying the car benefit percentage </w:t>
      </w:r>
      <w:r w:rsidR="005707CD">
        <w:rPr>
          <w:color w:val="000000"/>
        </w:rPr>
        <w:t>(above</w:t>
      </w:r>
      <w:r w:rsidR="00A272E3">
        <w:rPr>
          <w:color w:val="000000"/>
        </w:rPr>
        <w:t>) to £24,1</w:t>
      </w:r>
      <w:r w:rsidR="005707CD">
        <w:rPr>
          <w:color w:val="000000"/>
        </w:rPr>
        <w:t>00 (£23</w:t>
      </w:r>
      <w:r>
        <w:rPr>
          <w:color w:val="000000"/>
        </w:rPr>
        <w:t>,</w:t>
      </w:r>
      <w:r w:rsidR="005707CD">
        <w:rPr>
          <w:rFonts w:asciiTheme="minorHAnsi" w:hAnsiTheme="minorHAnsi" w:cstheme="minorHAnsi"/>
          <w:color w:val="000000"/>
        </w:rPr>
        <w:t>4</w:t>
      </w:r>
      <w:r w:rsidRPr="007A188F">
        <w:rPr>
          <w:rFonts w:asciiTheme="minorHAnsi" w:hAnsiTheme="minorHAnsi" w:cstheme="minorHAnsi"/>
          <w:color w:val="000000"/>
        </w:rPr>
        <w:t>00</w:t>
      </w:r>
      <w:r w:rsidR="00D97F2F">
        <w:rPr>
          <w:rFonts w:asciiTheme="minorHAnsi" w:hAnsiTheme="minorHAnsi" w:cstheme="minorHAnsi"/>
          <w:color w:val="000000"/>
        </w:rPr>
        <w:t xml:space="preserve"> in </w:t>
      </w:r>
      <w:r w:rsidR="00D97F2F">
        <w:rPr>
          <w:color w:val="000000"/>
        </w:rPr>
        <w:t>2018/19</w:t>
      </w:r>
      <w:r>
        <w:rPr>
          <w:color w:val="000000"/>
        </w:rPr>
        <w:t>).</w:t>
      </w:r>
    </w:p>
    <w:p w14:paraId="5398AD2F" w14:textId="16A1A585" w:rsidR="002E2CD1" w:rsidRPr="0013653D" w:rsidRDefault="002E2CD1" w:rsidP="002E2CD1">
      <w:r>
        <w:t>Vans wher</w:t>
      </w:r>
      <w:r w:rsidR="00D97F2F">
        <w:t>e private use is more than home-to-</w:t>
      </w:r>
      <w:r>
        <w:t>wor</w:t>
      </w:r>
      <w:r w:rsidR="00D97F2F">
        <w:t>k travel:</w:t>
      </w:r>
      <w:r w:rsidR="00A272E3">
        <w:t xml:space="preserve"> £3,430</w:t>
      </w:r>
      <w:r w:rsidR="005707CD">
        <w:t xml:space="preserve"> (</w:t>
      </w:r>
      <w:r>
        <w:t>£3,</w:t>
      </w:r>
      <w:r w:rsidR="00A272E3">
        <w:t>350</w:t>
      </w:r>
      <w:r w:rsidR="00D97F2F">
        <w:t xml:space="preserve"> in 2018/19</w:t>
      </w:r>
      <w:r w:rsidR="00A272E3">
        <w:t>) benefit and £655</w:t>
      </w:r>
      <w:r w:rsidR="005707CD">
        <w:t xml:space="preserve"> (</w:t>
      </w:r>
      <w:r>
        <w:t>£6</w:t>
      </w:r>
      <w:r w:rsidR="005707CD">
        <w:t>33</w:t>
      </w:r>
      <w:r w:rsidR="00D97F2F">
        <w:t xml:space="preserve"> in 2018/19</w:t>
      </w:r>
      <w:r>
        <w:t xml:space="preserve">) for private fuel. Payments by employees for private use may reduce these </w:t>
      </w:r>
      <w:r w:rsidR="00D97F2F">
        <w:t>benefits in kind</w:t>
      </w:r>
      <w:r>
        <w:t xml:space="preserve">. </w:t>
      </w:r>
      <w:r w:rsidR="00D97F2F">
        <w:t>Zero-emission v</w:t>
      </w:r>
      <w:r>
        <w:t xml:space="preserve">ans </w:t>
      </w:r>
      <w:r w:rsidR="005707CD">
        <w:t xml:space="preserve">have </w:t>
      </w:r>
      <w:r w:rsidR="00C16A28">
        <w:t>a benefit of £2,05</w:t>
      </w:r>
      <w:r w:rsidR="00CB5CD6">
        <w:t>8</w:t>
      </w:r>
      <w:r w:rsidR="005707CD">
        <w:t xml:space="preserve"> (</w:t>
      </w:r>
      <w:r>
        <w:t>£</w:t>
      </w:r>
      <w:r w:rsidR="005707CD">
        <w:t>1,340</w:t>
      </w:r>
      <w:r w:rsidR="00D97F2F">
        <w:t xml:space="preserve"> in 2018/19</w:t>
      </w:r>
      <w:r>
        <w:t>).</w:t>
      </w:r>
    </w:p>
    <w:p w14:paraId="2338C5EF" w14:textId="2F2C9D2C" w:rsidR="002E2CD1" w:rsidRDefault="002E2CD1" w:rsidP="000D2F33">
      <w:pPr>
        <w:pStyle w:val="Heading2"/>
      </w:pPr>
      <w:r>
        <w:t>TAX-FREE MILEAGE ALLOWANCES</w:t>
      </w:r>
    </w:p>
    <w:tbl>
      <w:tblPr>
        <w:tblW w:w="29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2692"/>
        <w:gridCol w:w="708"/>
      </w:tblGrid>
      <w:tr w:rsidR="002E2CD1" w14:paraId="1D8A8539" w14:textId="77777777" w:rsidTr="000D2F33">
        <w:trPr>
          <w:cantSplit/>
          <w:trHeight w:val="281"/>
        </w:trPr>
        <w:tc>
          <w:tcPr>
            <w:tcW w:w="1885" w:type="pct"/>
            <w:vMerge w:val="restart"/>
            <w:shd w:val="clear" w:color="auto" w:fill="D9D9D9"/>
          </w:tcPr>
          <w:p w14:paraId="540E1DD7" w14:textId="77777777" w:rsidR="002E2CD1" w:rsidRDefault="002E2CD1" w:rsidP="002E2CD1">
            <w:pPr>
              <w:spacing w:after="0" w:line="240" w:lineRule="auto"/>
            </w:pPr>
            <w:r>
              <w:t>Cars and vans</w:t>
            </w:r>
          </w:p>
        </w:tc>
        <w:tc>
          <w:tcPr>
            <w:tcW w:w="2466" w:type="pct"/>
          </w:tcPr>
          <w:p w14:paraId="3C9BADE7" w14:textId="77777777" w:rsidR="002E2CD1" w:rsidRDefault="002E2CD1" w:rsidP="002E2CD1">
            <w:pPr>
              <w:spacing w:after="0" w:line="240" w:lineRule="auto"/>
            </w:pPr>
            <w:r>
              <w:t xml:space="preserve">First 10,000 business miles </w:t>
            </w:r>
          </w:p>
        </w:tc>
        <w:tc>
          <w:tcPr>
            <w:tcW w:w="649" w:type="pct"/>
          </w:tcPr>
          <w:p w14:paraId="3B6B46DE" w14:textId="77777777" w:rsidR="002E2CD1" w:rsidRDefault="002E2CD1" w:rsidP="002E2CD1">
            <w:pPr>
              <w:spacing w:after="0" w:line="240" w:lineRule="auto"/>
              <w:jc w:val="right"/>
            </w:pPr>
            <w:r>
              <w:t>45p</w:t>
            </w:r>
          </w:p>
        </w:tc>
      </w:tr>
      <w:tr w:rsidR="002E2CD1" w14:paraId="0025B0F6" w14:textId="77777777" w:rsidTr="000D2F33">
        <w:trPr>
          <w:cantSplit/>
          <w:trHeight w:val="270"/>
        </w:trPr>
        <w:tc>
          <w:tcPr>
            <w:tcW w:w="1885" w:type="pct"/>
            <w:vMerge/>
            <w:vAlign w:val="center"/>
          </w:tcPr>
          <w:p w14:paraId="662595A0" w14:textId="77777777" w:rsidR="002E2CD1" w:rsidRDefault="002E2CD1" w:rsidP="002E2CD1">
            <w:pPr>
              <w:spacing w:after="0" w:line="240" w:lineRule="auto"/>
              <w:rPr>
                <w:rFonts w:ascii="Times New Roman" w:hAnsi="Times New Roman" w:cs="Times New Roman"/>
              </w:rPr>
            </w:pPr>
          </w:p>
        </w:tc>
        <w:tc>
          <w:tcPr>
            <w:tcW w:w="2466" w:type="pct"/>
          </w:tcPr>
          <w:p w14:paraId="4AEA04A0" w14:textId="77777777" w:rsidR="002E2CD1" w:rsidRDefault="002E2CD1" w:rsidP="002E2CD1">
            <w:pPr>
              <w:spacing w:after="0" w:line="240" w:lineRule="auto"/>
            </w:pPr>
            <w:r>
              <w:t>Thereafter</w:t>
            </w:r>
          </w:p>
        </w:tc>
        <w:tc>
          <w:tcPr>
            <w:tcW w:w="649" w:type="pct"/>
          </w:tcPr>
          <w:p w14:paraId="0EC03E60" w14:textId="77777777" w:rsidR="002E2CD1" w:rsidRDefault="002E2CD1" w:rsidP="002E2CD1">
            <w:pPr>
              <w:spacing w:after="0" w:line="240" w:lineRule="auto"/>
              <w:jc w:val="right"/>
            </w:pPr>
            <w:r>
              <w:t>25p</w:t>
            </w:r>
          </w:p>
        </w:tc>
      </w:tr>
      <w:tr w:rsidR="002E2CD1" w14:paraId="5A37CF81" w14:textId="77777777" w:rsidTr="000D2F33">
        <w:tc>
          <w:tcPr>
            <w:tcW w:w="1885" w:type="pct"/>
            <w:shd w:val="clear" w:color="auto" w:fill="D9D9D9"/>
          </w:tcPr>
          <w:p w14:paraId="410276CE" w14:textId="77777777" w:rsidR="002E2CD1" w:rsidRDefault="002E2CD1" w:rsidP="002E2CD1">
            <w:pPr>
              <w:spacing w:after="0" w:line="240" w:lineRule="auto"/>
            </w:pPr>
            <w:r>
              <w:t>Motorcycles</w:t>
            </w:r>
          </w:p>
        </w:tc>
        <w:tc>
          <w:tcPr>
            <w:tcW w:w="3115" w:type="pct"/>
            <w:gridSpan w:val="2"/>
          </w:tcPr>
          <w:p w14:paraId="16948179" w14:textId="77777777" w:rsidR="002E2CD1" w:rsidRDefault="002E2CD1" w:rsidP="00B213E1">
            <w:pPr>
              <w:spacing w:after="0" w:line="240" w:lineRule="auto"/>
              <w:jc w:val="right"/>
            </w:pPr>
            <w:r>
              <w:t>24p</w:t>
            </w:r>
          </w:p>
        </w:tc>
      </w:tr>
      <w:tr w:rsidR="002E2CD1" w14:paraId="61D0FE71" w14:textId="77777777" w:rsidTr="000D2F33">
        <w:tc>
          <w:tcPr>
            <w:tcW w:w="1885" w:type="pct"/>
            <w:shd w:val="clear" w:color="auto" w:fill="D9D9D9"/>
          </w:tcPr>
          <w:p w14:paraId="2A206BD2" w14:textId="77777777" w:rsidR="002E2CD1" w:rsidRDefault="002E2CD1" w:rsidP="002E2CD1">
            <w:pPr>
              <w:spacing w:after="0" w:line="240" w:lineRule="auto"/>
            </w:pPr>
            <w:r>
              <w:t>Bicycles</w:t>
            </w:r>
          </w:p>
        </w:tc>
        <w:tc>
          <w:tcPr>
            <w:tcW w:w="3115" w:type="pct"/>
            <w:gridSpan w:val="2"/>
          </w:tcPr>
          <w:p w14:paraId="38D5169B" w14:textId="77777777" w:rsidR="002E2CD1" w:rsidRDefault="002E2CD1" w:rsidP="00B213E1">
            <w:pPr>
              <w:spacing w:after="0" w:line="240" w:lineRule="auto"/>
              <w:jc w:val="right"/>
            </w:pPr>
            <w:r>
              <w:t>20p</w:t>
            </w:r>
          </w:p>
        </w:tc>
      </w:tr>
      <w:tr w:rsidR="002E2CD1" w14:paraId="6F5BE103" w14:textId="77777777" w:rsidTr="000D2F33">
        <w:tc>
          <w:tcPr>
            <w:tcW w:w="1885" w:type="pct"/>
            <w:shd w:val="clear" w:color="auto" w:fill="D9D9D9"/>
          </w:tcPr>
          <w:p w14:paraId="29BE0F7E" w14:textId="77777777" w:rsidR="002E2CD1" w:rsidRDefault="002E2CD1" w:rsidP="002E2CD1">
            <w:pPr>
              <w:spacing w:after="0" w:line="240" w:lineRule="auto"/>
            </w:pPr>
            <w:r>
              <w:t>Business passenger</w:t>
            </w:r>
          </w:p>
        </w:tc>
        <w:tc>
          <w:tcPr>
            <w:tcW w:w="3115" w:type="pct"/>
            <w:gridSpan w:val="2"/>
          </w:tcPr>
          <w:p w14:paraId="7B651176" w14:textId="77777777" w:rsidR="002E2CD1" w:rsidRDefault="002E2CD1" w:rsidP="002E2CD1">
            <w:pPr>
              <w:spacing w:after="0" w:line="240" w:lineRule="auto"/>
              <w:jc w:val="right"/>
            </w:pPr>
            <w:r>
              <w:t>5p</w:t>
            </w:r>
          </w:p>
        </w:tc>
      </w:tr>
    </w:tbl>
    <w:p w14:paraId="568912A6" w14:textId="77777777" w:rsidR="000D2F33" w:rsidRDefault="00773F16" w:rsidP="002E2CD1">
      <w:r>
        <w:lastRenderedPageBreak/>
        <w:t xml:space="preserve">The tax-free business mileage allowance rates apply for qualifying business journeys incurred by employee’s using their own vehicles. </w:t>
      </w:r>
    </w:p>
    <w:p w14:paraId="32D427C0" w14:textId="639D41F6" w:rsidR="002E2CD1" w:rsidRDefault="002E2CD1" w:rsidP="002E2CD1">
      <w:pPr>
        <w:rPr>
          <w:rFonts w:ascii="Times New Roman" w:hAnsi="Times New Roman" w:cs="Times New Roman"/>
        </w:rPr>
      </w:pPr>
      <w:r>
        <w:t>For national insurance purposes</w:t>
      </w:r>
      <w:r w:rsidR="00773F16">
        <w:t>, a rate of</w:t>
      </w:r>
      <w:r>
        <w:t xml:space="preserve"> 45p </w:t>
      </w:r>
      <w:r w:rsidR="00773F16">
        <w:t xml:space="preserve">may apply </w:t>
      </w:r>
      <w:r>
        <w:t xml:space="preserve">for all business miles </w:t>
      </w:r>
      <w:r w:rsidR="00773F16">
        <w:t xml:space="preserve">incurred </w:t>
      </w:r>
      <w:r>
        <w:t>for cars and vans</w:t>
      </w:r>
      <w:r>
        <w:rPr>
          <w:rFonts w:ascii="Times New Roman" w:hAnsi="Times New Roman" w:cs="Times New Roman"/>
        </w:rPr>
        <w:t>.</w:t>
      </w:r>
    </w:p>
    <w:p w14:paraId="1005CDBD" w14:textId="77777777" w:rsidR="002E2CD1" w:rsidRDefault="002E2CD1" w:rsidP="000D2F33">
      <w:pPr>
        <w:pStyle w:val="Heading2"/>
      </w:pPr>
      <w:r>
        <w:t>CAPITAL GAINS TAX</w:t>
      </w:r>
    </w:p>
    <w:tbl>
      <w:tblPr>
        <w:tblW w:w="50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4254"/>
        <w:gridCol w:w="1417"/>
        <w:gridCol w:w="1415"/>
      </w:tblGrid>
      <w:tr w:rsidR="005707CD" w14:paraId="6654CA79" w14:textId="77777777" w:rsidTr="00D97F2F">
        <w:tc>
          <w:tcPr>
            <w:tcW w:w="3475" w:type="pct"/>
            <w:gridSpan w:val="2"/>
            <w:shd w:val="clear" w:color="auto" w:fill="D9D9D9"/>
          </w:tcPr>
          <w:p w14:paraId="49B28F18" w14:textId="77777777" w:rsidR="005707CD" w:rsidRDefault="005707CD" w:rsidP="002E2CD1">
            <w:pPr>
              <w:spacing w:after="0" w:line="240" w:lineRule="auto"/>
              <w:rPr>
                <w:rFonts w:ascii="Times New Roman" w:hAnsi="Times New Roman" w:cs="Times New Roman"/>
              </w:rPr>
            </w:pPr>
          </w:p>
        </w:tc>
        <w:tc>
          <w:tcPr>
            <w:tcW w:w="763" w:type="pct"/>
            <w:shd w:val="clear" w:color="auto" w:fill="D9D9D9"/>
          </w:tcPr>
          <w:p w14:paraId="622877D7" w14:textId="77777777" w:rsidR="005707CD" w:rsidRDefault="005707CD" w:rsidP="002E2CD1">
            <w:pPr>
              <w:spacing w:after="0" w:line="240" w:lineRule="auto"/>
              <w:rPr>
                <w:b/>
                <w:bCs/>
              </w:rPr>
            </w:pPr>
            <w:r>
              <w:rPr>
                <w:b/>
                <w:bCs/>
              </w:rPr>
              <w:t>2019/20</w:t>
            </w:r>
          </w:p>
        </w:tc>
        <w:tc>
          <w:tcPr>
            <w:tcW w:w="762" w:type="pct"/>
            <w:shd w:val="clear" w:color="auto" w:fill="D9D9D9"/>
          </w:tcPr>
          <w:p w14:paraId="458A5111" w14:textId="77777777" w:rsidR="005707CD" w:rsidRDefault="005707CD" w:rsidP="002E2CD1">
            <w:pPr>
              <w:spacing w:after="0" w:line="240" w:lineRule="auto"/>
              <w:rPr>
                <w:b/>
                <w:bCs/>
              </w:rPr>
            </w:pPr>
            <w:r>
              <w:rPr>
                <w:b/>
                <w:bCs/>
              </w:rPr>
              <w:t>2018/19</w:t>
            </w:r>
          </w:p>
        </w:tc>
      </w:tr>
      <w:tr w:rsidR="005707CD" w14:paraId="18087460" w14:textId="77777777" w:rsidTr="00D97F2F">
        <w:trPr>
          <w:cantSplit/>
        </w:trPr>
        <w:tc>
          <w:tcPr>
            <w:tcW w:w="1184" w:type="pct"/>
            <w:vMerge w:val="restart"/>
            <w:vAlign w:val="center"/>
          </w:tcPr>
          <w:p w14:paraId="5DE860DE" w14:textId="77777777" w:rsidR="005707CD" w:rsidRDefault="005707CD" w:rsidP="00EE7EC5">
            <w:pPr>
              <w:spacing w:after="0" w:line="240" w:lineRule="auto"/>
            </w:pPr>
            <w:r w:rsidRPr="00DD2D2A">
              <w:rPr>
                <w:bCs/>
              </w:rPr>
              <w:t>Main rates</w:t>
            </w:r>
          </w:p>
        </w:tc>
        <w:tc>
          <w:tcPr>
            <w:tcW w:w="2291" w:type="pct"/>
          </w:tcPr>
          <w:p w14:paraId="36D9077B" w14:textId="77777777" w:rsidR="005707CD" w:rsidRDefault="005707CD" w:rsidP="00EE7EC5">
            <w:pPr>
              <w:spacing w:after="0" w:line="240" w:lineRule="auto"/>
            </w:pPr>
            <w:r>
              <w:t>Individual basic rate</w:t>
            </w:r>
          </w:p>
        </w:tc>
        <w:tc>
          <w:tcPr>
            <w:tcW w:w="763" w:type="pct"/>
          </w:tcPr>
          <w:p w14:paraId="3F00C390" w14:textId="79B8E4DC" w:rsidR="005707CD" w:rsidRDefault="00C16A28" w:rsidP="00EE7EC5">
            <w:pPr>
              <w:spacing w:after="0" w:line="240" w:lineRule="auto"/>
            </w:pPr>
            <w:r>
              <w:t>10%</w:t>
            </w:r>
          </w:p>
        </w:tc>
        <w:tc>
          <w:tcPr>
            <w:tcW w:w="762" w:type="pct"/>
          </w:tcPr>
          <w:p w14:paraId="1B5B48E7" w14:textId="77777777" w:rsidR="005707CD" w:rsidRDefault="005707CD" w:rsidP="00EE7EC5">
            <w:pPr>
              <w:spacing w:after="0" w:line="240" w:lineRule="auto"/>
            </w:pPr>
            <w:r>
              <w:t>10%</w:t>
            </w:r>
          </w:p>
        </w:tc>
      </w:tr>
      <w:tr w:rsidR="005707CD" w14:paraId="0B3D00C8" w14:textId="77777777" w:rsidTr="00D97F2F">
        <w:trPr>
          <w:cantSplit/>
        </w:trPr>
        <w:tc>
          <w:tcPr>
            <w:tcW w:w="1184" w:type="pct"/>
            <w:vMerge/>
            <w:vAlign w:val="center"/>
          </w:tcPr>
          <w:p w14:paraId="17655208" w14:textId="77777777" w:rsidR="005707CD" w:rsidRDefault="005707CD" w:rsidP="00EE7EC5">
            <w:pPr>
              <w:spacing w:after="0" w:line="240" w:lineRule="auto"/>
              <w:rPr>
                <w:rFonts w:ascii="Times New Roman" w:hAnsi="Times New Roman" w:cs="Times New Roman"/>
              </w:rPr>
            </w:pPr>
          </w:p>
        </w:tc>
        <w:tc>
          <w:tcPr>
            <w:tcW w:w="2291" w:type="pct"/>
          </w:tcPr>
          <w:p w14:paraId="2508B781" w14:textId="77777777" w:rsidR="005707CD" w:rsidRDefault="005707CD" w:rsidP="00EE7EC5">
            <w:pPr>
              <w:spacing w:after="0" w:line="240" w:lineRule="auto"/>
            </w:pPr>
            <w:r>
              <w:t>Individual above basic rate</w:t>
            </w:r>
          </w:p>
        </w:tc>
        <w:tc>
          <w:tcPr>
            <w:tcW w:w="763" w:type="pct"/>
          </w:tcPr>
          <w:p w14:paraId="5A7484FC" w14:textId="4530BE56" w:rsidR="005707CD" w:rsidRDefault="00C16A28" w:rsidP="00EE7EC5">
            <w:pPr>
              <w:spacing w:after="0" w:line="240" w:lineRule="auto"/>
            </w:pPr>
            <w:r>
              <w:t>20%</w:t>
            </w:r>
          </w:p>
        </w:tc>
        <w:tc>
          <w:tcPr>
            <w:tcW w:w="762" w:type="pct"/>
          </w:tcPr>
          <w:p w14:paraId="431EAF6F" w14:textId="77777777" w:rsidR="005707CD" w:rsidRDefault="005707CD" w:rsidP="00EE7EC5">
            <w:pPr>
              <w:spacing w:after="0" w:line="240" w:lineRule="auto"/>
            </w:pPr>
            <w:r>
              <w:t>20%</w:t>
            </w:r>
          </w:p>
        </w:tc>
      </w:tr>
      <w:tr w:rsidR="005707CD" w14:paraId="47DFA8DA" w14:textId="77777777" w:rsidTr="00D97F2F">
        <w:trPr>
          <w:cantSplit/>
        </w:trPr>
        <w:tc>
          <w:tcPr>
            <w:tcW w:w="1184" w:type="pct"/>
            <w:vMerge/>
            <w:vAlign w:val="center"/>
          </w:tcPr>
          <w:p w14:paraId="3E53A8C3" w14:textId="77777777" w:rsidR="005707CD" w:rsidRDefault="005707CD" w:rsidP="00EE7EC5">
            <w:pPr>
              <w:spacing w:after="0" w:line="240" w:lineRule="auto"/>
              <w:rPr>
                <w:rFonts w:ascii="Times New Roman" w:hAnsi="Times New Roman" w:cs="Times New Roman"/>
              </w:rPr>
            </w:pPr>
          </w:p>
        </w:tc>
        <w:tc>
          <w:tcPr>
            <w:tcW w:w="2291" w:type="pct"/>
          </w:tcPr>
          <w:p w14:paraId="2A7E0BD8" w14:textId="77777777" w:rsidR="005707CD" w:rsidRDefault="005707CD" w:rsidP="00EE7EC5">
            <w:pPr>
              <w:spacing w:after="0" w:line="240" w:lineRule="auto"/>
            </w:pPr>
            <w:r>
              <w:t>Trusts and estates</w:t>
            </w:r>
          </w:p>
        </w:tc>
        <w:tc>
          <w:tcPr>
            <w:tcW w:w="763" w:type="pct"/>
          </w:tcPr>
          <w:p w14:paraId="4099307D" w14:textId="7A02D12A" w:rsidR="005707CD" w:rsidRDefault="00C16A28" w:rsidP="00EE7EC5">
            <w:pPr>
              <w:spacing w:after="0" w:line="240" w:lineRule="auto"/>
            </w:pPr>
            <w:r>
              <w:t>20%</w:t>
            </w:r>
          </w:p>
        </w:tc>
        <w:tc>
          <w:tcPr>
            <w:tcW w:w="762" w:type="pct"/>
          </w:tcPr>
          <w:p w14:paraId="4FE60F24" w14:textId="77777777" w:rsidR="005707CD" w:rsidRDefault="005707CD" w:rsidP="00EE7EC5">
            <w:pPr>
              <w:spacing w:after="0" w:line="240" w:lineRule="auto"/>
            </w:pPr>
            <w:r>
              <w:t>20%</w:t>
            </w:r>
          </w:p>
        </w:tc>
      </w:tr>
      <w:tr w:rsidR="005707CD" w:rsidRPr="002E2CD1" w14:paraId="676450E7" w14:textId="77777777" w:rsidTr="00D97F2F">
        <w:tc>
          <w:tcPr>
            <w:tcW w:w="3475" w:type="pct"/>
            <w:gridSpan w:val="2"/>
          </w:tcPr>
          <w:p w14:paraId="6A5D85B0" w14:textId="5C58F689" w:rsidR="005707CD" w:rsidRPr="00DD2D2A" w:rsidRDefault="007C7F4A" w:rsidP="00D97F2F">
            <w:pPr>
              <w:spacing w:after="0" w:line="240" w:lineRule="auto"/>
              <w:rPr>
                <w:bCs/>
              </w:rPr>
            </w:pPr>
            <w:r>
              <w:rPr>
                <w:bCs/>
              </w:rPr>
              <w:t>Surcharge – for g</w:t>
            </w:r>
            <w:r w:rsidR="005707CD" w:rsidRPr="00DD2D2A">
              <w:rPr>
                <w:bCs/>
              </w:rPr>
              <w:t xml:space="preserve">ains on residential property not eligible for </w:t>
            </w:r>
            <w:r w:rsidR="00D97F2F">
              <w:rPr>
                <w:bCs/>
              </w:rPr>
              <w:t>private residence</w:t>
            </w:r>
            <w:r w:rsidR="005707CD" w:rsidRPr="00DD2D2A">
              <w:rPr>
                <w:bCs/>
              </w:rPr>
              <w:t xml:space="preserve"> relief and carried interest </w:t>
            </w:r>
          </w:p>
        </w:tc>
        <w:tc>
          <w:tcPr>
            <w:tcW w:w="763" w:type="pct"/>
          </w:tcPr>
          <w:p w14:paraId="20DEB09E" w14:textId="591F35FC" w:rsidR="005707CD" w:rsidRPr="002E2CD1" w:rsidRDefault="00C16A28" w:rsidP="00EE7EC5">
            <w:pPr>
              <w:spacing w:after="0" w:line="240" w:lineRule="auto"/>
              <w:rPr>
                <w:rFonts w:asciiTheme="minorHAnsi" w:hAnsiTheme="minorHAnsi" w:cstheme="minorHAnsi"/>
              </w:rPr>
            </w:pPr>
            <w:r>
              <w:rPr>
                <w:rFonts w:asciiTheme="minorHAnsi" w:hAnsiTheme="minorHAnsi" w:cstheme="minorHAnsi"/>
              </w:rPr>
              <w:t>8%</w:t>
            </w:r>
          </w:p>
        </w:tc>
        <w:tc>
          <w:tcPr>
            <w:tcW w:w="762" w:type="pct"/>
          </w:tcPr>
          <w:p w14:paraId="1A2A64A8" w14:textId="77777777" w:rsidR="005707CD" w:rsidRPr="002E2CD1" w:rsidRDefault="005707CD" w:rsidP="00EE7EC5">
            <w:pPr>
              <w:spacing w:after="0" w:line="240" w:lineRule="auto"/>
              <w:rPr>
                <w:rFonts w:asciiTheme="minorHAnsi" w:hAnsiTheme="minorHAnsi" w:cstheme="minorHAnsi"/>
              </w:rPr>
            </w:pPr>
            <w:r w:rsidRPr="002E2CD1">
              <w:rPr>
                <w:rFonts w:asciiTheme="minorHAnsi" w:hAnsiTheme="minorHAnsi" w:cstheme="minorHAnsi"/>
              </w:rPr>
              <w:t>8%</w:t>
            </w:r>
          </w:p>
        </w:tc>
      </w:tr>
      <w:tr w:rsidR="005707CD" w14:paraId="0D73F6C5" w14:textId="77777777" w:rsidTr="00D97F2F">
        <w:trPr>
          <w:cantSplit/>
        </w:trPr>
        <w:tc>
          <w:tcPr>
            <w:tcW w:w="1184" w:type="pct"/>
            <w:vMerge w:val="restart"/>
          </w:tcPr>
          <w:p w14:paraId="0E809FE3" w14:textId="77777777" w:rsidR="005707CD" w:rsidRDefault="005707CD" w:rsidP="00EE7EC5">
            <w:pPr>
              <w:spacing w:after="0" w:line="240" w:lineRule="auto"/>
            </w:pPr>
            <w:r>
              <w:t>Annual exemption</w:t>
            </w:r>
          </w:p>
        </w:tc>
        <w:tc>
          <w:tcPr>
            <w:tcW w:w="2291" w:type="pct"/>
          </w:tcPr>
          <w:p w14:paraId="77828581" w14:textId="77777777" w:rsidR="005707CD" w:rsidRDefault="005707CD" w:rsidP="00EE7EC5">
            <w:pPr>
              <w:spacing w:after="0" w:line="240" w:lineRule="auto"/>
            </w:pPr>
            <w:r>
              <w:t>Individuals</w:t>
            </w:r>
          </w:p>
        </w:tc>
        <w:tc>
          <w:tcPr>
            <w:tcW w:w="763" w:type="pct"/>
          </w:tcPr>
          <w:p w14:paraId="65488EFC" w14:textId="1D66FCF6" w:rsidR="005707CD" w:rsidRPr="002E2CD1" w:rsidRDefault="00C16A28" w:rsidP="00EE7EC5">
            <w:pPr>
              <w:spacing w:after="0" w:line="240" w:lineRule="auto"/>
              <w:rPr>
                <w:rFonts w:asciiTheme="minorHAnsi" w:hAnsiTheme="minorHAnsi" w:cstheme="minorHAnsi"/>
              </w:rPr>
            </w:pPr>
            <w:r>
              <w:rPr>
                <w:rFonts w:asciiTheme="minorHAnsi" w:hAnsiTheme="minorHAnsi" w:cstheme="minorHAnsi"/>
              </w:rPr>
              <w:t>£12,000</w:t>
            </w:r>
          </w:p>
        </w:tc>
        <w:tc>
          <w:tcPr>
            <w:tcW w:w="762" w:type="pct"/>
          </w:tcPr>
          <w:p w14:paraId="2BA253C2" w14:textId="77777777" w:rsidR="005707CD" w:rsidRPr="002E2CD1" w:rsidRDefault="005707CD" w:rsidP="00EE7EC5">
            <w:pPr>
              <w:spacing w:after="0" w:line="240" w:lineRule="auto"/>
              <w:rPr>
                <w:rFonts w:asciiTheme="minorHAnsi" w:hAnsiTheme="minorHAnsi" w:cstheme="minorHAnsi"/>
              </w:rPr>
            </w:pPr>
            <w:r w:rsidRPr="002E2CD1">
              <w:rPr>
                <w:rFonts w:asciiTheme="minorHAnsi" w:hAnsiTheme="minorHAnsi" w:cstheme="minorHAnsi"/>
              </w:rPr>
              <w:t>£11,700</w:t>
            </w:r>
          </w:p>
        </w:tc>
      </w:tr>
      <w:tr w:rsidR="005707CD" w14:paraId="01E09F84" w14:textId="77777777" w:rsidTr="00D97F2F">
        <w:trPr>
          <w:cantSplit/>
        </w:trPr>
        <w:tc>
          <w:tcPr>
            <w:tcW w:w="1184" w:type="pct"/>
            <w:vMerge/>
            <w:vAlign w:val="center"/>
          </w:tcPr>
          <w:p w14:paraId="34CEAD5F" w14:textId="77777777" w:rsidR="005707CD" w:rsidRDefault="005707CD" w:rsidP="00EE7EC5">
            <w:pPr>
              <w:spacing w:after="0" w:line="240" w:lineRule="auto"/>
              <w:rPr>
                <w:rFonts w:ascii="Times New Roman" w:hAnsi="Times New Roman" w:cs="Times New Roman"/>
              </w:rPr>
            </w:pPr>
          </w:p>
        </w:tc>
        <w:tc>
          <w:tcPr>
            <w:tcW w:w="2291" w:type="pct"/>
          </w:tcPr>
          <w:p w14:paraId="77DDEC20" w14:textId="77777777" w:rsidR="005707CD" w:rsidRDefault="005707CD" w:rsidP="00EE7EC5">
            <w:pPr>
              <w:spacing w:after="0" w:line="240" w:lineRule="auto"/>
            </w:pPr>
            <w:r>
              <w:t>Trusts</w:t>
            </w:r>
          </w:p>
        </w:tc>
        <w:tc>
          <w:tcPr>
            <w:tcW w:w="763" w:type="pct"/>
          </w:tcPr>
          <w:p w14:paraId="17B886EE" w14:textId="130318E0" w:rsidR="005707CD" w:rsidRPr="002E2CD1" w:rsidRDefault="00C16A28" w:rsidP="00EE7EC5">
            <w:pPr>
              <w:spacing w:after="0" w:line="240" w:lineRule="auto"/>
              <w:rPr>
                <w:rFonts w:asciiTheme="minorHAnsi" w:hAnsiTheme="minorHAnsi" w:cstheme="minorHAnsi"/>
              </w:rPr>
            </w:pPr>
            <w:r>
              <w:rPr>
                <w:rFonts w:asciiTheme="minorHAnsi" w:hAnsiTheme="minorHAnsi" w:cstheme="minorHAnsi"/>
              </w:rPr>
              <w:t>£6,000</w:t>
            </w:r>
          </w:p>
        </w:tc>
        <w:tc>
          <w:tcPr>
            <w:tcW w:w="762" w:type="pct"/>
          </w:tcPr>
          <w:p w14:paraId="1D1D2351" w14:textId="77777777" w:rsidR="005707CD" w:rsidRPr="002E2CD1" w:rsidRDefault="005707CD" w:rsidP="00EE7EC5">
            <w:pPr>
              <w:spacing w:after="0" w:line="240" w:lineRule="auto"/>
              <w:rPr>
                <w:rFonts w:asciiTheme="minorHAnsi" w:hAnsiTheme="minorHAnsi" w:cstheme="minorHAnsi"/>
              </w:rPr>
            </w:pPr>
            <w:r w:rsidRPr="002E2CD1">
              <w:rPr>
                <w:rFonts w:asciiTheme="minorHAnsi" w:hAnsiTheme="minorHAnsi" w:cstheme="minorHAnsi"/>
              </w:rPr>
              <w:t>£5,850</w:t>
            </w:r>
          </w:p>
        </w:tc>
      </w:tr>
      <w:tr w:rsidR="005707CD" w14:paraId="50C75F4E" w14:textId="77777777" w:rsidTr="00D97F2F">
        <w:trPr>
          <w:cantSplit/>
        </w:trPr>
        <w:tc>
          <w:tcPr>
            <w:tcW w:w="1184" w:type="pct"/>
            <w:vMerge w:val="restart"/>
          </w:tcPr>
          <w:p w14:paraId="21542A33" w14:textId="77777777" w:rsidR="005707CD" w:rsidRDefault="005707CD" w:rsidP="00EE7EC5">
            <w:pPr>
              <w:spacing w:after="0" w:line="240" w:lineRule="auto"/>
            </w:pPr>
            <w:r>
              <w:t>Entrepreneurs’ relief</w:t>
            </w:r>
          </w:p>
        </w:tc>
        <w:tc>
          <w:tcPr>
            <w:tcW w:w="2291" w:type="pct"/>
          </w:tcPr>
          <w:p w14:paraId="34E3B68E" w14:textId="77777777" w:rsidR="005707CD" w:rsidRDefault="005707CD" w:rsidP="00EE7EC5">
            <w:pPr>
              <w:spacing w:after="0" w:line="240" w:lineRule="auto"/>
            </w:pPr>
            <w:r>
              <w:t>Applicable rate</w:t>
            </w:r>
          </w:p>
        </w:tc>
        <w:tc>
          <w:tcPr>
            <w:tcW w:w="763" w:type="pct"/>
          </w:tcPr>
          <w:p w14:paraId="1EDF2FC4" w14:textId="78DE02FE" w:rsidR="005707CD" w:rsidRDefault="00C16A28" w:rsidP="00EE7EC5">
            <w:pPr>
              <w:spacing w:after="0" w:line="240" w:lineRule="auto"/>
            </w:pPr>
            <w:r>
              <w:t>10%</w:t>
            </w:r>
          </w:p>
        </w:tc>
        <w:tc>
          <w:tcPr>
            <w:tcW w:w="762" w:type="pct"/>
          </w:tcPr>
          <w:p w14:paraId="7338454C" w14:textId="77777777" w:rsidR="005707CD" w:rsidRDefault="005707CD" w:rsidP="00EE7EC5">
            <w:pPr>
              <w:spacing w:after="0" w:line="240" w:lineRule="auto"/>
            </w:pPr>
            <w:r>
              <w:t>10%</w:t>
            </w:r>
          </w:p>
        </w:tc>
      </w:tr>
      <w:tr w:rsidR="005707CD" w14:paraId="2A86D76C" w14:textId="77777777" w:rsidTr="00D97F2F">
        <w:trPr>
          <w:cantSplit/>
        </w:trPr>
        <w:tc>
          <w:tcPr>
            <w:tcW w:w="1184" w:type="pct"/>
            <w:vMerge/>
            <w:vAlign w:val="center"/>
          </w:tcPr>
          <w:p w14:paraId="0BA0265B" w14:textId="77777777" w:rsidR="005707CD" w:rsidRDefault="005707CD" w:rsidP="00EE7EC5">
            <w:pPr>
              <w:spacing w:after="0" w:line="240" w:lineRule="auto"/>
              <w:rPr>
                <w:rFonts w:ascii="Times New Roman" w:hAnsi="Times New Roman" w:cs="Times New Roman"/>
              </w:rPr>
            </w:pPr>
          </w:p>
        </w:tc>
        <w:tc>
          <w:tcPr>
            <w:tcW w:w="2291" w:type="pct"/>
          </w:tcPr>
          <w:p w14:paraId="19EC1D92" w14:textId="77777777" w:rsidR="005707CD" w:rsidRDefault="005707CD" w:rsidP="00EE7EC5">
            <w:pPr>
              <w:spacing w:after="0" w:line="240" w:lineRule="auto"/>
            </w:pPr>
            <w:r>
              <w:t>Lifetime limit</w:t>
            </w:r>
          </w:p>
        </w:tc>
        <w:tc>
          <w:tcPr>
            <w:tcW w:w="763" w:type="pct"/>
          </w:tcPr>
          <w:p w14:paraId="12371979" w14:textId="7825BE42" w:rsidR="005707CD" w:rsidRDefault="00C16A28" w:rsidP="00EE7EC5">
            <w:pPr>
              <w:spacing w:after="0" w:line="240" w:lineRule="auto"/>
            </w:pPr>
            <w:r>
              <w:t>£10m</w:t>
            </w:r>
          </w:p>
        </w:tc>
        <w:tc>
          <w:tcPr>
            <w:tcW w:w="762" w:type="pct"/>
          </w:tcPr>
          <w:p w14:paraId="66D8E99B" w14:textId="77777777" w:rsidR="005707CD" w:rsidRDefault="005707CD" w:rsidP="00EE7EC5">
            <w:pPr>
              <w:spacing w:after="0" w:line="240" w:lineRule="auto"/>
            </w:pPr>
            <w:r>
              <w:t>£10m</w:t>
            </w:r>
          </w:p>
        </w:tc>
      </w:tr>
      <w:tr w:rsidR="005707CD" w14:paraId="6B42DB63" w14:textId="77777777" w:rsidTr="00D97F2F">
        <w:trPr>
          <w:cantSplit/>
        </w:trPr>
        <w:tc>
          <w:tcPr>
            <w:tcW w:w="1184" w:type="pct"/>
            <w:vMerge w:val="restart"/>
            <w:vAlign w:val="center"/>
          </w:tcPr>
          <w:p w14:paraId="1203043B" w14:textId="77777777" w:rsidR="005707CD" w:rsidRDefault="005707CD" w:rsidP="00EE7EC5">
            <w:pPr>
              <w:spacing w:after="0" w:line="240" w:lineRule="auto"/>
            </w:pPr>
            <w:r>
              <w:t>Investors’ relief</w:t>
            </w:r>
          </w:p>
        </w:tc>
        <w:tc>
          <w:tcPr>
            <w:tcW w:w="2291" w:type="pct"/>
          </w:tcPr>
          <w:p w14:paraId="18C6158A" w14:textId="77777777" w:rsidR="005707CD" w:rsidRDefault="005707CD" w:rsidP="00EE7EC5">
            <w:pPr>
              <w:spacing w:after="0" w:line="240" w:lineRule="auto"/>
            </w:pPr>
            <w:r>
              <w:t>Applicable rate</w:t>
            </w:r>
          </w:p>
        </w:tc>
        <w:tc>
          <w:tcPr>
            <w:tcW w:w="763" w:type="pct"/>
          </w:tcPr>
          <w:p w14:paraId="02351B44" w14:textId="5B00F112" w:rsidR="005707CD" w:rsidRDefault="00C16A28" w:rsidP="00EE7EC5">
            <w:pPr>
              <w:spacing w:after="0" w:line="240" w:lineRule="auto"/>
            </w:pPr>
            <w:r>
              <w:t>10%</w:t>
            </w:r>
          </w:p>
        </w:tc>
        <w:tc>
          <w:tcPr>
            <w:tcW w:w="762" w:type="pct"/>
          </w:tcPr>
          <w:p w14:paraId="4A63A1CC" w14:textId="77777777" w:rsidR="005707CD" w:rsidRDefault="005707CD" w:rsidP="00EE7EC5">
            <w:pPr>
              <w:spacing w:after="0" w:line="240" w:lineRule="auto"/>
            </w:pPr>
            <w:r>
              <w:t>10%</w:t>
            </w:r>
          </w:p>
        </w:tc>
      </w:tr>
      <w:tr w:rsidR="005707CD" w14:paraId="06657415" w14:textId="77777777" w:rsidTr="00D97F2F">
        <w:trPr>
          <w:cantSplit/>
        </w:trPr>
        <w:tc>
          <w:tcPr>
            <w:tcW w:w="1184" w:type="pct"/>
            <w:vMerge/>
            <w:vAlign w:val="center"/>
          </w:tcPr>
          <w:p w14:paraId="7EE7525B" w14:textId="77777777" w:rsidR="005707CD" w:rsidRDefault="005707CD" w:rsidP="00EE7EC5">
            <w:pPr>
              <w:spacing w:after="0" w:line="240" w:lineRule="auto"/>
              <w:rPr>
                <w:rFonts w:ascii="Times New Roman" w:hAnsi="Times New Roman" w:cs="Times New Roman"/>
              </w:rPr>
            </w:pPr>
          </w:p>
        </w:tc>
        <w:tc>
          <w:tcPr>
            <w:tcW w:w="2291" w:type="pct"/>
          </w:tcPr>
          <w:p w14:paraId="0B4F74C2" w14:textId="77777777" w:rsidR="005707CD" w:rsidRDefault="005707CD" w:rsidP="00EE7EC5">
            <w:pPr>
              <w:spacing w:after="0" w:line="240" w:lineRule="auto"/>
            </w:pPr>
            <w:r>
              <w:t>Lifetime limit</w:t>
            </w:r>
          </w:p>
        </w:tc>
        <w:tc>
          <w:tcPr>
            <w:tcW w:w="763" w:type="pct"/>
          </w:tcPr>
          <w:p w14:paraId="023EE828" w14:textId="4E2D2C8F" w:rsidR="005707CD" w:rsidRDefault="00C16A28" w:rsidP="00EE7EC5">
            <w:pPr>
              <w:spacing w:after="0" w:line="240" w:lineRule="auto"/>
            </w:pPr>
            <w:r>
              <w:t>£10m</w:t>
            </w:r>
          </w:p>
        </w:tc>
        <w:tc>
          <w:tcPr>
            <w:tcW w:w="762" w:type="pct"/>
          </w:tcPr>
          <w:p w14:paraId="425D0A6B" w14:textId="77777777" w:rsidR="005707CD" w:rsidRDefault="005707CD" w:rsidP="00EE7EC5">
            <w:pPr>
              <w:spacing w:after="0" w:line="240" w:lineRule="auto"/>
            </w:pPr>
            <w:r>
              <w:t>£10m</w:t>
            </w:r>
          </w:p>
        </w:tc>
      </w:tr>
    </w:tbl>
    <w:p w14:paraId="7D22FF80" w14:textId="77777777" w:rsidR="002E2CD1" w:rsidRDefault="002E2CD1" w:rsidP="000D2F33">
      <w:pPr>
        <w:pStyle w:val="Heading2"/>
      </w:pPr>
      <w:r>
        <w:t>INHERITANCE TAX</w:t>
      </w:r>
    </w:p>
    <w:tbl>
      <w:tblPr>
        <w:tblW w:w="502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2"/>
        <w:gridCol w:w="1417"/>
        <w:gridCol w:w="1417"/>
      </w:tblGrid>
      <w:tr w:rsidR="005707CD" w14:paraId="47428E54" w14:textId="77777777" w:rsidTr="005707CD">
        <w:tc>
          <w:tcPr>
            <w:tcW w:w="3473" w:type="pct"/>
            <w:shd w:val="clear" w:color="auto" w:fill="D9D9D9"/>
          </w:tcPr>
          <w:p w14:paraId="42B0C258" w14:textId="77777777" w:rsidR="005707CD" w:rsidRDefault="005707CD" w:rsidP="002E2CD1">
            <w:pPr>
              <w:spacing w:after="0" w:line="240" w:lineRule="auto"/>
              <w:rPr>
                <w:rFonts w:ascii="Times New Roman" w:hAnsi="Times New Roman" w:cs="Times New Roman"/>
              </w:rPr>
            </w:pPr>
          </w:p>
        </w:tc>
        <w:tc>
          <w:tcPr>
            <w:tcW w:w="763" w:type="pct"/>
            <w:shd w:val="clear" w:color="auto" w:fill="D9D9D9"/>
          </w:tcPr>
          <w:p w14:paraId="121C72BA" w14:textId="77777777" w:rsidR="005707CD" w:rsidRDefault="005707CD" w:rsidP="002E2CD1">
            <w:pPr>
              <w:spacing w:after="0" w:line="240" w:lineRule="auto"/>
              <w:rPr>
                <w:b/>
                <w:bCs/>
              </w:rPr>
            </w:pPr>
            <w:r>
              <w:rPr>
                <w:b/>
                <w:bCs/>
              </w:rPr>
              <w:t>2019/20</w:t>
            </w:r>
          </w:p>
        </w:tc>
        <w:tc>
          <w:tcPr>
            <w:tcW w:w="763" w:type="pct"/>
            <w:shd w:val="clear" w:color="auto" w:fill="D9D9D9"/>
          </w:tcPr>
          <w:p w14:paraId="686A0B5B" w14:textId="77777777" w:rsidR="005707CD" w:rsidRDefault="005707CD" w:rsidP="002E2CD1">
            <w:pPr>
              <w:spacing w:after="0" w:line="240" w:lineRule="auto"/>
              <w:rPr>
                <w:b/>
                <w:bCs/>
              </w:rPr>
            </w:pPr>
            <w:r>
              <w:rPr>
                <w:b/>
                <w:bCs/>
              </w:rPr>
              <w:t>2018/19</w:t>
            </w:r>
          </w:p>
        </w:tc>
      </w:tr>
      <w:tr w:rsidR="005707CD" w14:paraId="6BC3F43E" w14:textId="77777777" w:rsidTr="005707CD">
        <w:tc>
          <w:tcPr>
            <w:tcW w:w="3473" w:type="pct"/>
          </w:tcPr>
          <w:p w14:paraId="5F5B1869" w14:textId="77777777" w:rsidR="005707CD" w:rsidRDefault="005707CD" w:rsidP="002E2CD1">
            <w:pPr>
              <w:spacing w:after="0" w:line="240" w:lineRule="auto"/>
            </w:pPr>
            <w:r>
              <w:t>Nil-rate band threshold*</w:t>
            </w:r>
          </w:p>
        </w:tc>
        <w:tc>
          <w:tcPr>
            <w:tcW w:w="763" w:type="pct"/>
          </w:tcPr>
          <w:p w14:paraId="44C46390" w14:textId="36134ECE" w:rsidR="005707CD" w:rsidRDefault="00C16A28" w:rsidP="002E2CD1">
            <w:pPr>
              <w:spacing w:after="0" w:line="240" w:lineRule="auto"/>
            </w:pPr>
            <w:r>
              <w:t>£325,000</w:t>
            </w:r>
          </w:p>
        </w:tc>
        <w:tc>
          <w:tcPr>
            <w:tcW w:w="763" w:type="pct"/>
          </w:tcPr>
          <w:p w14:paraId="3D2C68F9" w14:textId="77777777" w:rsidR="005707CD" w:rsidRDefault="005707CD" w:rsidP="002E2CD1">
            <w:pPr>
              <w:spacing w:after="0" w:line="240" w:lineRule="auto"/>
            </w:pPr>
            <w:r>
              <w:t>£325,000</w:t>
            </w:r>
          </w:p>
        </w:tc>
      </w:tr>
      <w:tr w:rsidR="005707CD" w14:paraId="2D9F9257" w14:textId="77777777" w:rsidTr="005707CD">
        <w:tc>
          <w:tcPr>
            <w:tcW w:w="3473" w:type="pct"/>
          </w:tcPr>
          <w:p w14:paraId="577DDBEB" w14:textId="77777777" w:rsidR="005707CD" w:rsidRDefault="005707CD" w:rsidP="002E2CD1">
            <w:pPr>
              <w:spacing w:after="0" w:line="240" w:lineRule="auto"/>
            </w:pPr>
            <w:r>
              <w:t>Main residence nil-rate band**</w:t>
            </w:r>
          </w:p>
        </w:tc>
        <w:tc>
          <w:tcPr>
            <w:tcW w:w="763" w:type="pct"/>
          </w:tcPr>
          <w:p w14:paraId="126AA7B5" w14:textId="1DC2FB0C" w:rsidR="005707CD" w:rsidRDefault="00C16A28" w:rsidP="002E2CD1">
            <w:pPr>
              <w:spacing w:after="0" w:line="240" w:lineRule="auto"/>
            </w:pPr>
            <w:r>
              <w:t>£150,000</w:t>
            </w:r>
          </w:p>
        </w:tc>
        <w:tc>
          <w:tcPr>
            <w:tcW w:w="763" w:type="pct"/>
          </w:tcPr>
          <w:p w14:paraId="20B07C5C" w14:textId="77777777" w:rsidR="005707CD" w:rsidRDefault="005707CD" w:rsidP="002E2CD1">
            <w:pPr>
              <w:spacing w:after="0" w:line="240" w:lineRule="auto"/>
            </w:pPr>
            <w:r>
              <w:t>£125,000</w:t>
            </w:r>
          </w:p>
        </w:tc>
      </w:tr>
      <w:tr w:rsidR="005707CD" w14:paraId="72919CF6" w14:textId="77777777" w:rsidTr="005707CD">
        <w:tc>
          <w:tcPr>
            <w:tcW w:w="3473" w:type="pct"/>
          </w:tcPr>
          <w:p w14:paraId="5DBDE0EE" w14:textId="77777777" w:rsidR="005707CD" w:rsidRDefault="005707CD" w:rsidP="002E2CD1">
            <w:pPr>
              <w:spacing w:after="0" w:line="240" w:lineRule="auto"/>
            </w:pPr>
            <w:r>
              <w:t>Combined threshold limit for married couples and civil partners, including main residence nil-rate band</w:t>
            </w:r>
          </w:p>
        </w:tc>
        <w:tc>
          <w:tcPr>
            <w:tcW w:w="763" w:type="pct"/>
          </w:tcPr>
          <w:p w14:paraId="586AF5AF" w14:textId="5C25B667" w:rsidR="005707CD" w:rsidRDefault="00C16A28" w:rsidP="002E2CD1">
            <w:pPr>
              <w:spacing w:after="0" w:line="240" w:lineRule="auto"/>
            </w:pPr>
            <w:r>
              <w:t>£950,000</w:t>
            </w:r>
          </w:p>
        </w:tc>
        <w:tc>
          <w:tcPr>
            <w:tcW w:w="763" w:type="pct"/>
          </w:tcPr>
          <w:p w14:paraId="1A6011A5" w14:textId="77777777" w:rsidR="005707CD" w:rsidRDefault="005707CD" w:rsidP="002E2CD1">
            <w:pPr>
              <w:spacing w:after="0" w:line="240" w:lineRule="auto"/>
            </w:pPr>
            <w:r>
              <w:t>£900,000</w:t>
            </w:r>
          </w:p>
        </w:tc>
      </w:tr>
      <w:tr w:rsidR="00D77059" w14:paraId="62C4B0F5" w14:textId="77777777" w:rsidTr="005707CD">
        <w:tc>
          <w:tcPr>
            <w:tcW w:w="3473" w:type="pct"/>
          </w:tcPr>
          <w:p w14:paraId="01350263" w14:textId="7F318E28" w:rsidR="00D77059" w:rsidRDefault="00D77059" w:rsidP="002E2CD1">
            <w:pPr>
              <w:spacing w:after="0" w:line="240" w:lineRule="auto"/>
            </w:pPr>
            <w:r>
              <w:t>Relief for businesses, unlisted/AIM companies, certain farmland/farm buildings</w:t>
            </w:r>
          </w:p>
        </w:tc>
        <w:tc>
          <w:tcPr>
            <w:tcW w:w="763" w:type="pct"/>
          </w:tcPr>
          <w:p w14:paraId="69A935CD" w14:textId="2B279A21" w:rsidR="00D77059" w:rsidRDefault="00D77059" w:rsidP="002E2CD1">
            <w:pPr>
              <w:spacing w:after="0" w:line="240" w:lineRule="auto"/>
            </w:pPr>
            <w:r>
              <w:t>100%</w:t>
            </w:r>
          </w:p>
        </w:tc>
        <w:tc>
          <w:tcPr>
            <w:tcW w:w="763" w:type="pct"/>
          </w:tcPr>
          <w:p w14:paraId="1B81EF43" w14:textId="2950B8BC" w:rsidR="00D77059" w:rsidRDefault="00D77059" w:rsidP="002E2CD1">
            <w:pPr>
              <w:spacing w:after="0" w:line="240" w:lineRule="auto"/>
            </w:pPr>
            <w:r>
              <w:t>100%</w:t>
            </w:r>
          </w:p>
        </w:tc>
      </w:tr>
    </w:tbl>
    <w:p w14:paraId="573F8825" w14:textId="77777777" w:rsidR="002E2CD1" w:rsidRPr="00FD0AD5" w:rsidRDefault="002E2CD1" w:rsidP="002E2CD1">
      <w:r>
        <w:rPr>
          <w:rFonts w:ascii="Times New Roman" w:hAnsi="Times New Roman" w:cs="Times New Roman"/>
        </w:rPr>
        <w:br/>
      </w:r>
      <w:r>
        <w:t xml:space="preserve">* </w:t>
      </w:r>
      <w:r w:rsidRPr="00773F16">
        <w:t>Up to 100% of any unused part of a deceased person’s nil-rate band can be claimed by the surviving spouse/civil part</w:t>
      </w:r>
      <w:r w:rsidRPr="00FD0AD5">
        <w:t>ner on their death.</w:t>
      </w:r>
      <w:r w:rsidR="00A26E75" w:rsidRPr="00FD0AD5">
        <w:t xml:space="preserve"> This also applies to the main residence nil-rate band, albeit the main residence nil-rate is subject to the taper withdrawal below.</w:t>
      </w:r>
    </w:p>
    <w:p w14:paraId="3B56DA2B" w14:textId="6372B418" w:rsidR="002E2CD1" w:rsidRDefault="002E2CD1" w:rsidP="002E2CD1">
      <w:r w:rsidRPr="0071192E">
        <w:rPr>
          <w:sz w:val="24"/>
          <w:szCs w:val="24"/>
        </w:rPr>
        <w:t xml:space="preserve"> ** </w:t>
      </w:r>
      <w:r>
        <w:t xml:space="preserve">For estates </w:t>
      </w:r>
      <w:r w:rsidR="00773F16">
        <w:t>in excess of</w:t>
      </w:r>
      <w:r>
        <w:t xml:space="preserve"> £2m, </w:t>
      </w:r>
      <w:r w:rsidR="00CB5CD6">
        <w:t xml:space="preserve">a </w:t>
      </w:r>
      <w:r>
        <w:t xml:space="preserve">50% taper </w:t>
      </w:r>
      <w:r w:rsidR="00773F16">
        <w:t>withdrawal applies to the</w:t>
      </w:r>
      <w:r w:rsidR="00CB5CD6">
        <w:t xml:space="preserve"> excess.</w:t>
      </w:r>
    </w:p>
    <w:p w14:paraId="0DFC7E96" w14:textId="77777777" w:rsidR="002E2CD1" w:rsidRPr="00D5313C" w:rsidRDefault="002E2CD1" w:rsidP="00D5313C">
      <w:pPr>
        <w:rPr>
          <w:b/>
        </w:rPr>
      </w:pPr>
      <w:r w:rsidRPr="00D5313C">
        <w:rPr>
          <w:b/>
        </w:rPr>
        <w:t>Tax rates</w:t>
      </w:r>
    </w:p>
    <w:tbl>
      <w:tblPr>
        <w:tblW w:w="50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9"/>
        <w:gridCol w:w="1983"/>
        <w:gridCol w:w="1983"/>
      </w:tblGrid>
      <w:tr w:rsidR="005707CD" w14:paraId="7F1DD491" w14:textId="77777777" w:rsidTr="005707CD">
        <w:tc>
          <w:tcPr>
            <w:tcW w:w="2864" w:type="pct"/>
            <w:shd w:val="clear" w:color="auto" w:fill="D9D9D9"/>
          </w:tcPr>
          <w:p w14:paraId="2A91079A" w14:textId="77777777" w:rsidR="005707CD" w:rsidRDefault="005707CD" w:rsidP="002E2CD1">
            <w:pPr>
              <w:spacing w:after="0" w:line="240" w:lineRule="auto"/>
              <w:rPr>
                <w:rFonts w:ascii="Times New Roman" w:hAnsi="Times New Roman" w:cs="Times New Roman"/>
              </w:rPr>
            </w:pPr>
          </w:p>
        </w:tc>
        <w:tc>
          <w:tcPr>
            <w:tcW w:w="1068" w:type="pct"/>
            <w:shd w:val="clear" w:color="auto" w:fill="D9D9D9"/>
          </w:tcPr>
          <w:p w14:paraId="18DD60E3" w14:textId="77777777" w:rsidR="005707CD" w:rsidRDefault="005707CD" w:rsidP="002E2CD1">
            <w:pPr>
              <w:spacing w:after="0" w:line="240" w:lineRule="auto"/>
              <w:rPr>
                <w:b/>
                <w:bCs/>
              </w:rPr>
            </w:pPr>
            <w:r>
              <w:rPr>
                <w:b/>
                <w:bCs/>
              </w:rPr>
              <w:t>2019/20</w:t>
            </w:r>
          </w:p>
        </w:tc>
        <w:tc>
          <w:tcPr>
            <w:tcW w:w="1068" w:type="pct"/>
            <w:shd w:val="clear" w:color="auto" w:fill="D9D9D9"/>
          </w:tcPr>
          <w:p w14:paraId="7FDA91F1" w14:textId="77777777" w:rsidR="005707CD" w:rsidRDefault="005707CD" w:rsidP="002E2CD1">
            <w:pPr>
              <w:spacing w:after="0" w:line="240" w:lineRule="auto"/>
              <w:rPr>
                <w:b/>
                <w:bCs/>
              </w:rPr>
            </w:pPr>
            <w:r>
              <w:rPr>
                <w:b/>
                <w:bCs/>
              </w:rPr>
              <w:t>2018/19</w:t>
            </w:r>
          </w:p>
        </w:tc>
      </w:tr>
      <w:tr w:rsidR="005707CD" w14:paraId="0E07BCE7" w14:textId="77777777" w:rsidTr="005707CD">
        <w:tc>
          <w:tcPr>
            <w:tcW w:w="2864" w:type="pct"/>
          </w:tcPr>
          <w:p w14:paraId="3670AEFF" w14:textId="77777777" w:rsidR="005707CD" w:rsidRDefault="005707CD" w:rsidP="002E2CD1">
            <w:pPr>
              <w:spacing w:after="0" w:line="240" w:lineRule="auto"/>
            </w:pPr>
            <w:r>
              <w:t>Main rate</w:t>
            </w:r>
          </w:p>
        </w:tc>
        <w:tc>
          <w:tcPr>
            <w:tcW w:w="1068" w:type="pct"/>
          </w:tcPr>
          <w:p w14:paraId="1BF62AE8" w14:textId="2DD36C5B" w:rsidR="005707CD" w:rsidRDefault="00C16A28" w:rsidP="002E2CD1">
            <w:pPr>
              <w:spacing w:after="0" w:line="240" w:lineRule="auto"/>
            </w:pPr>
            <w:r>
              <w:t>40%</w:t>
            </w:r>
          </w:p>
        </w:tc>
        <w:tc>
          <w:tcPr>
            <w:tcW w:w="1068" w:type="pct"/>
          </w:tcPr>
          <w:p w14:paraId="4DD8B795" w14:textId="77777777" w:rsidR="005707CD" w:rsidRDefault="005707CD" w:rsidP="002E2CD1">
            <w:pPr>
              <w:spacing w:after="0" w:line="240" w:lineRule="auto"/>
            </w:pPr>
            <w:r>
              <w:t>40%</w:t>
            </w:r>
          </w:p>
        </w:tc>
      </w:tr>
      <w:tr w:rsidR="005707CD" w14:paraId="67B0D178" w14:textId="77777777" w:rsidTr="005707CD">
        <w:tc>
          <w:tcPr>
            <w:tcW w:w="2864" w:type="pct"/>
          </w:tcPr>
          <w:p w14:paraId="59E6A15D" w14:textId="77777777" w:rsidR="005707CD" w:rsidRDefault="005707CD" w:rsidP="002E2CD1">
            <w:pPr>
              <w:spacing w:after="0" w:line="240" w:lineRule="auto"/>
            </w:pPr>
            <w:r>
              <w:t>Chargeable on lifetime transfers</w:t>
            </w:r>
          </w:p>
        </w:tc>
        <w:tc>
          <w:tcPr>
            <w:tcW w:w="1068" w:type="pct"/>
          </w:tcPr>
          <w:p w14:paraId="7FC95681" w14:textId="22F097DB" w:rsidR="005707CD" w:rsidRDefault="00C16A28" w:rsidP="002E2CD1">
            <w:pPr>
              <w:spacing w:after="0" w:line="240" w:lineRule="auto"/>
            </w:pPr>
            <w:r>
              <w:t>20%</w:t>
            </w:r>
          </w:p>
        </w:tc>
        <w:tc>
          <w:tcPr>
            <w:tcW w:w="1068" w:type="pct"/>
          </w:tcPr>
          <w:p w14:paraId="6A089E61" w14:textId="77777777" w:rsidR="005707CD" w:rsidRDefault="005707CD" w:rsidP="002E2CD1">
            <w:pPr>
              <w:spacing w:after="0" w:line="240" w:lineRule="auto"/>
            </w:pPr>
            <w:r>
              <w:t>20%</w:t>
            </w:r>
          </w:p>
        </w:tc>
      </w:tr>
      <w:tr w:rsidR="005707CD" w14:paraId="5B6DBD5A" w14:textId="77777777" w:rsidTr="005707CD">
        <w:tc>
          <w:tcPr>
            <w:tcW w:w="2864" w:type="pct"/>
          </w:tcPr>
          <w:p w14:paraId="0560C775" w14:textId="045CFC2A" w:rsidR="005707CD" w:rsidRDefault="005707CD" w:rsidP="00D97F2F">
            <w:pPr>
              <w:spacing w:after="0" w:line="240" w:lineRule="auto"/>
            </w:pPr>
            <w:r>
              <w:t xml:space="preserve">Transfers on or within </w:t>
            </w:r>
            <w:r w:rsidR="00D97F2F">
              <w:t>seven</w:t>
            </w:r>
            <w:r>
              <w:t xml:space="preserve"> years of death*</w:t>
            </w:r>
          </w:p>
        </w:tc>
        <w:tc>
          <w:tcPr>
            <w:tcW w:w="1068" w:type="pct"/>
          </w:tcPr>
          <w:p w14:paraId="6CD08554" w14:textId="02FE7A43" w:rsidR="005707CD" w:rsidRDefault="00C16A28" w:rsidP="002E2CD1">
            <w:pPr>
              <w:spacing w:after="0" w:line="240" w:lineRule="auto"/>
            </w:pPr>
            <w:r>
              <w:t>40%</w:t>
            </w:r>
          </w:p>
        </w:tc>
        <w:tc>
          <w:tcPr>
            <w:tcW w:w="1068" w:type="pct"/>
          </w:tcPr>
          <w:p w14:paraId="1697DFB4" w14:textId="77777777" w:rsidR="005707CD" w:rsidRDefault="005707CD" w:rsidP="002E2CD1">
            <w:pPr>
              <w:spacing w:after="0" w:line="240" w:lineRule="auto"/>
            </w:pPr>
            <w:r>
              <w:t>40%</w:t>
            </w:r>
          </w:p>
        </w:tc>
      </w:tr>
      <w:tr w:rsidR="005707CD" w14:paraId="4A7AA35C" w14:textId="77777777" w:rsidTr="005707CD">
        <w:tc>
          <w:tcPr>
            <w:tcW w:w="2864" w:type="pct"/>
          </w:tcPr>
          <w:p w14:paraId="1C06120B" w14:textId="77777777" w:rsidR="005707CD" w:rsidRDefault="005707CD" w:rsidP="002E2CD1">
            <w:pPr>
              <w:spacing w:after="0" w:line="240" w:lineRule="auto"/>
            </w:pPr>
            <w:r>
              <w:t>Reduced rate**</w:t>
            </w:r>
          </w:p>
        </w:tc>
        <w:tc>
          <w:tcPr>
            <w:tcW w:w="1068" w:type="pct"/>
          </w:tcPr>
          <w:p w14:paraId="2FEEFC80" w14:textId="77A51DAD" w:rsidR="005707CD" w:rsidRDefault="00C16A28" w:rsidP="002E2CD1">
            <w:pPr>
              <w:spacing w:after="0" w:line="240" w:lineRule="auto"/>
            </w:pPr>
            <w:r>
              <w:t>36%</w:t>
            </w:r>
          </w:p>
        </w:tc>
        <w:tc>
          <w:tcPr>
            <w:tcW w:w="1068" w:type="pct"/>
          </w:tcPr>
          <w:p w14:paraId="7E597F6E" w14:textId="77777777" w:rsidR="005707CD" w:rsidRDefault="005707CD" w:rsidP="002E2CD1">
            <w:pPr>
              <w:spacing w:after="0" w:line="240" w:lineRule="auto"/>
            </w:pPr>
            <w:r>
              <w:t>36%</w:t>
            </w:r>
          </w:p>
        </w:tc>
      </w:tr>
    </w:tbl>
    <w:p w14:paraId="5DD9D8C3" w14:textId="6AC424D0" w:rsidR="002E2CD1" w:rsidRDefault="002E2CD1" w:rsidP="002E2CD1">
      <w:r>
        <w:t>*</w:t>
      </w:r>
      <w:r w:rsidR="00C2695E">
        <w:t xml:space="preserve"> </w:t>
      </w:r>
      <w:r>
        <w:t xml:space="preserve">All lifetime transfers not covered by exemptions and made within </w:t>
      </w:r>
      <w:r w:rsidR="00D97F2F">
        <w:t>seven</w:t>
      </w:r>
      <w:r>
        <w:t xml:space="preserve"> years of death will be added back into the estate for the purposes of calculating the tax payable. This may then be reduced as shown in the table</w:t>
      </w:r>
      <w:r w:rsidR="00773F16">
        <w:t xml:space="preserve"> below</w:t>
      </w:r>
      <w:r>
        <w:t>.</w:t>
      </w:r>
    </w:p>
    <w:p w14:paraId="095D909A" w14:textId="72E783E1" w:rsidR="002E2CD1" w:rsidRDefault="002E2CD1" w:rsidP="002E2CD1">
      <w:pPr>
        <w:rPr>
          <w:rFonts w:ascii="Times New Roman" w:hAnsi="Times New Roman" w:cs="Times New Roman"/>
        </w:rPr>
      </w:pPr>
      <w:r>
        <w:t xml:space="preserve">** Applies if 10% or more of net </w:t>
      </w:r>
      <w:r w:rsidR="00195411">
        <w:t xml:space="preserve">chargeable </w:t>
      </w:r>
      <w:r>
        <w:t xml:space="preserve">estate </w:t>
      </w:r>
      <w:r w:rsidR="00195411">
        <w:t xml:space="preserve">is left </w:t>
      </w:r>
      <w:r>
        <w:t xml:space="preserve">to </w:t>
      </w:r>
      <w:r w:rsidR="00D97F2F">
        <w:t>a UK-</w:t>
      </w:r>
      <w:r w:rsidR="00195411">
        <w:t xml:space="preserve">registered </w:t>
      </w:r>
      <w:r>
        <w:t>charity.</w:t>
      </w:r>
    </w:p>
    <w:tbl>
      <w:tblPr>
        <w:tblW w:w="42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1172"/>
        <w:gridCol w:w="1095"/>
        <w:gridCol w:w="1135"/>
        <w:gridCol w:w="1133"/>
        <w:gridCol w:w="1133"/>
      </w:tblGrid>
      <w:tr w:rsidR="002E2CD1" w14:paraId="5B417C7A" w14:textId="77777777" w:rsidTr="00D97F2F">
        <w:tc>
          <w:tcPr>
            <w:tcW w:w="1398" w:type="pct"/>
            <w:shd w:val="clear" w:color="auto" w:fill="D9D9D9"/>
          </w:tcPr>
          <w:p w14:paraId="65811CAA" w14:textId="77777777" w:rsidR="002E2CD1" w:rsidRPr="00D74536" w:rsidRDefault="002E2CD1" w:rsidP="002E2CD1">
            <w:pPr>
              <w:spacing w:after="0" w:line="240" w:lineRule="auto"/>
              <w:rPr>
                <w:b/>
              </w:rPr>
            </w:pPr>
            <w:r w:rsidRPr="00D74536">
              <w:rPr>
                <w:b/>
              </w:rPr>
              <w:t>Years before death</w:t>
            </w:r>
          </w:p>
        </w:tc>
        <w:tc>
          <w:tcPr>
            <w:tcW w:w="745" w:type="pct"/>
            <w:shd w:val="clear" w:color="auto" w:fill="D9D9D9"/>
          </w:tcPr>
          <w:p w14:paraId="253592DB" w14:textId="77777777" w:rsidR="002E2CD1" w:rsidRDefault="002E2CD1" w:rsidP="00D5313C">
            <w:pPr>
              <w:spacing w:after="0" w:line="240" w:lineRule="auto"/>
            </w:pPr>
            <w:r>
              <w:t>0</w:t>
            </w:r>
            <w:r w:rsidR="00B01154">
              <w:t xml:space="preserve"> – </w:t>
            </w:r>
            <w:r>
              <w:t>3</w:t>
            </w:r>
          </w:p>
        </w:tc>
        <w:tc>
          <w:tcPr>
            <w:tcW w:w="696" w:type="pct"/>
            <w:shd w:val="clear" w:color="auto" w:fill="D9D9D9"/>
          </w:tcPr>
          <w:p w14:paraId="134FA105" w14:textId="77777777" w:rsidR="002E2CD1" w:rsidRDefault="002E2CD1" w:rsidP="002E2CD1">
            <w:pPr>
              <w:spacing w:after="0" w:line="240" w:lineRule="auto"/>
            </w:pPr>
            <w:r>
              <w:t>3</w:t>
            </w:r>
            <w:r w:rsidR="00B01154">
              <w:t xml:space="preserve"> – </w:t>
            </w:r>
            <w:r>
              <w:t>4</w:t>
            </w:r>
          </w:p>
        </w:tc>
        <w:tc>
          <w:tcPr>
            <w:tcW w:w="721" w:type="pct"/>
            <w:shd w:val="clear" w:color="auto" w:fill="D9D9D9"/>
          </w:tcPr>
          <w:p w14:paraId="70E0FEE7" w14:textId="77777777" w:rsidR="002E2CD1" w:rsidRDefault="002E2CD1" w:rsidP="002E2CD1">
            <w:pPr>
              <w:spacing w:after="0" w:line="240" w:lineRule="auto"/>
            </w:pPr>
            <w:r>
              <w:t>4</w:t>
            </w:r>
            <w:r w:rsidR="00B01154">
              <w:t xml:space="preserve"> – </w:t>
            </w:r>
            <w:r>
              <w:t>5</w:t>
            </w:r>
          </w:p>
        </w:tc>
        <w:tc>
          <w:tcPr>
            <w:tcW w:w="720" w:type="pct"/>
            <w:shd w:val="clear" w:color="auto" w:fill="D9D9D9"/>
          </w:tcPr>
          <w:p w14:paraId="029FC5B4" w14:textId="77777777" w:rsidR="002E2CD1" w:rsidRDefault="002E2CD1" w:rsidP="002E2CD1">
            <w:pPr>
              <w:spacing w:after="0" w:line="240" w:lineRule="auto"/>
            </w:pPr>
            <w:r>
              <w:t>5</w:t>
            </w:r>
            <w:r w:rsidR="00B01154">
              <w:t xml:space="preserve"> – </w:t>
            </w:r>
            <w:r>
              <w:t>6</w:t>
            </w:r>
          </w:p>
        </w:tc>
        <w:tc>
          <w:tcPr>
            <w:tcW w:w="720" w:type="pct"/>
            <w:shd w:val="clear" w:color="auto" w:fill="D9D9D9"/>
          </w:tcPr>
          <w:p w14:paraId="46703F84" w14:textId="77777777" w:rsidR="002E2CD1" w:rsidRDefault="002E2CD1" w:rsidP="002E2CD1">
            <w:pPr>
              <w:spacing w:after="0" w:line="240" w:lineRule="auto"/>
            </w:pPr>
            <w:r>
              <w:t>6</w:t>
            </w:r>
            <w:r w:rsidR="00B01154">
              <w:t xml:space="preserve"> – </w:t>
            </w:r>
            <w:r>
              <w:t>7</w:t>
            </w:r>
          </w:p>
        </w:tc>
      </w:tr>
      <w:tr w:rsidR="002E2CD1" w14:paraId="0B820362" w14:textId="77777777" w:rsidTr="00D97F2F">
        <w:tc>
          <w:tcPr>
            <w:tcW w:w="1398" w:type="pct"/>
          </w:tcPr>
          <w:p w14:paraId="7A5136C6" w14:textId="77777777" w:rsidR="002E2CD1" w:rsidRDefault="002E2CD1" w:rsidP="002E2CD1">
            <w:pPr>
              <w:spacing w:after="0" w:line="240" w:lineRule="auto"/>
            </w:pPr>
            <w:r>
              <w:t>Tax reduced by</w:t>
            </w:r>
          </w:p>
        </w:tc>
        <w:tc>
          <w:tcPr>
            <w:tcW w:w="745" w:type="pct"/>
          </w:tcPr>
          <w:p w14:paraId="18AF3DB2" w14:textId="77777777" w:rsidR="002E2CD1" w:rsidRDefault="002E2CD1" w:rsidP="002E2CD1">
            <w:pPr>
              <w:spacing w:after="0" w:line="240" w:lineRule="auto"/>
            </w:pPr>
            <w:r>
              <w:t>0%</w:t>
            </w:r>
          </w:p>
        </w:tc>
        <w:tc>
          <w:tcPr>
            <w:tcW w:w="696" w:type="pct"/>
          </w:tcPr>
          <w:p w14:paraId="15DEA192" w14:textId="77777777" w:rsidR="002E2CD1" w:rsidRDefault="002E2CD1" w:rsidP="002E2CD1">
            <w:pPr>
              <w:spacing w:after="0" w:line="240" w:lineRule="auto"/>
            </w:pPr>
            <w:r>
              <w:t>20%</w:t>
            </w:r>
          </w:p>
        </w:tc>
        <w:tc>
          <w:tcPr>
            <w:tcW w:w="721" w:type="pct"/>
          </w:tcPr>
          <w:p w14:paraId="18E91198" w14:textId="77777777" w:rsidR="002E2CD1" w:rsidRDefault="002E2CD1" w:rsidP="002E2CD1">
            <w:pPr>
              <w:spacing w:after="0" w:line="240" w:lineRule="auto"/>
            </w:pPr>
            <w:r>
              <w:t>40%</w:t>
            </w:r>
          </w:p>
        </w:tc>
        <w:tc>
          <w:tcPr>
            <w:tcW w:w="720" w:type="pct"/>
          </w:tcPr>
          <w:p w14:paraId="4054A67F" w14:textId="77777777" w:rsidR="002E2CD1" w:rsidRDefault="002E2CD1" w:rsidP="002E2CD1">
            <w:pPr>
              <w:spacing w:after="0" w:line="240" w:lineRule="auto"/>
            </w:pPr>
            <w:r>
              <w:t>60%</w:t>
            </w:r>
          </w:p>
        </w:tc>
        <w:tc>
          <w:tcPr>
            <w:tcW w:w="720" w:type="pct"/>
          </w:tcPr>
          <w:p w14:paraId="0A842B69" w14:textId="77777777" w:rsidR="002E2CD1" w:rsidRDefault="002E2CD1" w:rsidP="002E2CD1">
            <w:pPr>
              <w:spacing w:after="0" w:line="240" w:lineRule="auto"/>
            </w:pPr>
            <w:r>
              <w:t>80%</w:t>
            </w:r>
          </w:p>
        </w:tc>
      </w:tr>
    </w:tbl>
    <w:p w14:paraId="250DDB00" w14:textId="77777777" w:rsidR="000D2F33" w:rsidRDefault="000D2F33" w:rsidP="000D2F33">
      <w:pPr>
        <w:pStyle w:val="Heading2"/>
      </w:pPr>
    </w:p>
    <w:p w14:paraId="15C88ED6" w14:textId="77777777" w:rsidR="002E2CD1" w:rsidRDefault="002E2CD1" w:rsidP="000D2F33">
      <w:pPr>
        <w:pStyle w:val="Heading2"/>
      </w:pPr>
      <w:r>
        <w:t>UK COMPANY TAXATION</w:t>
      </w:r>
    </w:p>
    <w:tbl>
      <w:tblPr>
        <w:tblW w:w="47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2830"/>
        <w:gridCol w:w="2830"/>
      </w:tblGrid>
      <w:tr w:rsidR="005707CD" w14:paraId="25DA0E9C" w14:textId="77777777" w:rsidTr="005707CD">
        <w:tc>
          <w:tcPr>
            <w:tcW w:w="1804" w:type="pct"/>
            <w:shd w:val="clear" w:color="auto" w:fill="D9D9D9"/>
          </w:tcPr>
          <w:p w14:paraId="3D79BE4B" w14:textId="77777777" w:rsidR="005707CD" w:rsidRDefault="005707CD" w:rsidP="002E2CD1">
            <w:pPr>
              <w:spacing w:after="0" w:line="240" w:lineRule="auto"/>
              <w:rPr>
                <w:b/>
                <w:bCs/>
              </w:rPr>
            </w:pPr>
            <w:r>
              <w:rPr>
                <w:b/>
                <w:bCs/>
              </w:rPr>
              <w:t>Financial year from 1 April</w:t>
            </w:r>
          </w:p>
        </w:tc>
        <w:tc>
          <w:tcPr>
            <w:tcW w:w="1598" w:type="pct"/>
            <w:shd w:val="clear" w:color="auto" w:fill="D9D9D9"/>
          </w:tcPr>
          <w:p w14:paraId="02860629" w14:textId="77777777" w:rsidR="005707CD" w:rsidRDefault="005707CD" w:rsidP="002E2CD1">
            <w:pPr>
              <w:spacing w:after="0" w:line="240" w:lineRule="auto"/>
              <w:rPr>
                <w:b/>
                <w:bCs/>
              </w:rPr>
            </w:pPr>
            <w:r>
              <w:rPr>
                <w:b/>
                <w:bCs/>
              </w:rPr>
              <w:t>2019</w:t>
            </w:r>
          </w:p>
        </w:tc>
        <w:tc>
          <w:tcPr>
            <w:tcW w:w="1598" w:type="pct"/>
            <w:shd w:val="clear" w:color="auto" w:fill="D9D9D9"/>
          </w:tcPr>
          <w:p w14:paraId="6AA70E3C" w14:textId="77777777" w:rsidR="005707CD" w:rsidRDefault="005707CD" w:rsidP="002E2CD1">
            <w:pPr>
              <w:spacing w:after="0" w:line="240" w:lineRule="auto"/>
              <w:rPr>
                <w:b/>
                <w:bCs/>
              </w:rPr>
            </w:pPr>
            <w:r>
              <w:rPr>
                <w:b/>
                <w:bCs/>
              </w:rPr>
              <w:t>2018</w:t>
            </w:r>
          </w:p>
        </w:tc>
      </w:tr>
      <w:tr w:rsidR="005707CD" w14:paraId="5CB23E74" w14:textId="77777777" w:rsidTr="005707CD">
        <w:trPr>
          <w:cantSplit/>
          <w:trHeight w:val="339"/>
        </w:trPr>
        <w:tc>
          <w:tcPr>
            <w:tcW w:w="1804" w:type="pct"/>
          </w:tcPr>
          <w:p w14:paraId="396F35FD" w14:textId="5002CDF4" w:rsidR="005707CD" w:rsidRPr="002E2CD1" w:rsidRDefault="005707CD" w:rsidP="002E2CD1">
            <w:pPr>
              <w:spacing w:after="0" w:line="240" w:lineRule="auto"/>
              <w:rPr>
                <w:rFonts w:asciiTheme="minorHAnsi" w:hAnsiTheme="minorHAnsi" w:cstheme="minorHAnsi"/>
              </w:rPr>
            </w:pPr>
            <w:r>
              <w:t xml:space="preserve">Corporation tax </w:t>
            </w:r>
            <w:r w:rsidR="00773F16">
              <w:t xml:space="preserve">main </w:t>
            </w:r>
            <w:r>
              <w:t xml:space="preserve">rate </w:t>
            </w:r>
          </w:p>
        </w:tc>
        <w:tc>
          <w:tcPr>
            <w:tcW w:w="1598" w:type="pct"/>
          </w:tcPr>
          <w:p w14:paraId="7A76F10A" w14:textId="14705EAD" w:rsidR="005707CD" w:rsidRPr="002E2CD1" w:rsidRDefault="00C16A28" w:rsidP="002E2CD1">
            <w:pPr>
              <w:rPr>
                <w:rFonts w:asciiTheme="minorHAnsi" w:hAnsiTheme="minorHAnsi" w:cstheme="minorHAnsi"/>
              </w:rPr>
            </w:pPr>
            <w:r>
              <w:rPr>
                <w:rFonts w:asciiTheme="minorHAnsi" w:hAnsiTheme="minorHAnsi" w:cstheme="minorHAnsi"/>
              </w:rPr>
              <w:t>19%</w:t>
            </w:r>
          </w:p>
        </w:tc>
        <w:tc>
          <w:tcPr>
            <w:tcW w:w="1598" w:type="pct"/>
          </w:tcPr>
          <w:p w14:paraId="400A0D6F" w14:textId="77777777" w:rsidR="005707CD" w:rsidRPr="002E2CD1" w:rsidRDefault="005707CD" w:rsidP="002E2CD1">
            <w:pPr>
              <w:rPr>
                <w:rFonts w:asciiTheme="minorHAnsi" w:hAnsiTheme="minorHAnsi" w:cstheme="minorHAnsi"/>
              </w:rPr>
            </w:pPr>
            <w:r w:rsidRPr="002E2CD1">
              <w:rPr>
                <w:rFonts w:asciiTheme="minorHAnsi" w:hAnsiTheme="minorHAnsi" w:cstheme="minorHAnsi"/>
              </w:rPr>
              <w:t>19%</w:t>
            </w:r>
          </w:p>
        </w:tc>
      </w:tr>
      <w:tr w:rsidR="005707CD" w14:paraId="615DEDBE" w14:textId="77777777" w:rsidTr="005707CD">
        <w:trPr>
          <w:cantSplit/>
          <w:trHeight w:val="261"/>
        </w:trPr>
        <w:tc>
          <w:tcPr>
            <w:tcW w:w="1804" w:type="pct"/>
          </w:tcPr>
          <w:p w14:paraId="3D12CDE5" w14:textId="77777777" w:rsidR="005707CD" w:rsidRDefault="005707CD" w:rsidP="002E2CD1">
            <w:pPr>
              <w:spacing w:after="0" w:line="240" w:lineRule="auto"/>
            </w:pPr>
            <w:r>
              <w:t>Loans to participators</w:t>
            </w:r>
          </w:p>
        </w:tc>
        <w:tc>
          <w:tcPr>
            <w:tcW w:w="1598" w:type="pct"/>
          </w:tcPr>
          <w:p w14:paraId="1571974C" w14:textId="35ECE1C0" w:rsidR="005707CD" w:rsidRPr="002E2CD1" w:rsidRDefault="00C16A28" w:rsidP="002E2CD1">
            <w:pPr>
              <w:rPr>
                <w:rFonts w:asciiTheme="minorHAnsi" w:hAnsiTheme="minorHAnsi" w:cstheme="minorHAnsi"/>
              </w:rPr>
            </w:pPr>
            <w:r>
              <w:rPr>
                <w:rFonts w:asciiTheme="minorHAnsi" w:hAnsiTheme="minorHAnsi" w:cstheme="minorHAnsi"/>
              </w:rPr>
              <w:t>32.5%</w:t>
            </w:r>
          </w:p>
        </w:tc>
        <w:tc>
          <w:tcPr>
            <w:tcW w:w="1598" w:type="pct"/>
          </w:tcPr>
          <w:p w14:paraId="41C5EE90" w14:textId="77777777" w:rsidR="005707CD" w:rsidRPr="002E2CD1" w:rsidRDefault="005707CD" w:rsidP="002E2CD1">
            <w:pPr>
              <w:rPr>
                <w:rFonts w:asciiTheme="minorHAnsi" w:hAnsiTheme="minorHAnsi" w:cstheme="minorHAnsi"/>
              </w:rPr>
            </w:pPr>
            <w:r w:rsidRPr="002E2CD1">
              <w:rPr>
                <w:rFonts w:asciiTheme="minorHAnsi" w:hAnsiTheme="minorHAnsi" w:cstheme="minorHAnsi"/>
              </w:rPr>
              <w:t>32.5%</w:t>
            </w:r>
          </w:p>
        </w:tc>
      </w:tr>
      <w:tr w:rsidR="005707CD" w14:paraId="7595D2A3" w14:textId="77777777" w:rsidTr="005707CD">
        <w:trPr>
          <w:cantSplit/>
        </w:trPr>
        <w:tc>
          <w:tcPr>
            <w:tcW w:w="1804" w:type="pct"/>
          </w:tcPr>
          <w:p w14:paraId="6B766D49" w14:textId="15AE8EE8" w:rsidR="005707CD" w:rsidRDefault="005707CD" w:rsidP="002E2CD1">
            <w:pPr>
              <w:spacing w:after="0" w:line="240" w:lineRule="auto"/>
            </w:pPr>
            <w:r>
              <w:t>Diverted profits tax</w:t>
            </w:r>
          </w:p>
        </w:tc>
        <w:tc>
          <w:tcPr>
            <w:tcW w:w="1598" w:type="pct"/>
          </w:tcPr>
          <w:p w14:paraId="394B6C80" w14:textId="5B9D407D" w:rsidR="005707CD" w:rsidRPr="002E2CD1" w:rsidRDefault="00C16A28" w:rsidP="002E2CD1">
            <w:pPr>
              <w:rPr>
                <w:rFonts w:asciiTheme="minorHAnsi" w:hAnsiTheme="minorHAnsi" w:cstheme="minorHAnsi"/>
              </w:rPr>
            </w:pPr>
            <w:r>
              <w:rPr>
                <w:rFonts w:asciiTheme="minorHAnsi" w:hAnsiTheme="minorHAnsi" w:cstheme="minorHAnsi"/>
              </w:rPr>
              <w:t>25%</w:t>
            </w:r>
          </w:p>
        </w:tc>
        <w:tc>
          <w:tcPr>
            <w:tcW w:w="1598" w:type="pct"/>
          </w:tcPr>
          <w:p w14:paraId="1D8E4265" w14:textId="77777777" w:rsidR="005707CD" w:rsidRPr="002E2CD1" w:rsidRDefault="005707CD" w:rsidP="002E2CD1">
            <w:pPr>
              <w:rPr>
                <w:rFonts w:asciiTheme="minorHAnsi" w:hAnsiTheme="minorHAnsi" w:cstheme="minorHAnsi"/>
              </w:rPr>
            </w:pPr>
            <w:r w:rsidRPr="002E2CD1">
              <w:rPr>
                <w:rFonts w:asciiTheme="minorHAnsi" w:hAnsiTheme="minorHAnsi" w:cstheme="minorHAnsi"/>
              </w:rPr>
              <w:t>25%</w:t>
            </w:r>
          </w:p>
        </w:tc>
      </w:tr>
    </w:tbl>
    <w:p w14:paraId="0FBEAF07" w14:textId="77777777" w:rsidR="002E2CD1" w:rsidRDefault="002E2CD1" w:rsidP="002E2CD1">
      <w:pPr>
        <w:spacing w:after="0" w:line="240" w:lineRule="auto"/>
        <w:rPr>
          <w:rFonts w:ascii="Times New Roman" w:hAnsi="Times New Roman" w:cs="Times New Roman"/>
          <w:b/>
          <w:bCs/>
        </w:rPr>
      </w:pPr>
    </w:p>
    <w:p w14:paraId="214D641B" w14:textId="77777777" w:rsidR="002E2CD1" w:rsidRDefault="002E2CD1" w:rsidP="000D2F33">
      <w:pPr>
        <w:pStyle w:val="Heading2"/>
      </w:pPr>
      <w:r>
        <w:t xml:space="preserve">MAIN CAPITAL ALLOWANCES </w:t>
      </w:r>
    </w:p>
    <w:p w14:paraId="31061B01" w14:textId="77777777" w:rsidR="002E2CD1" w:rsidRPr="00D5313C" w:rsidRDefault="002E2CD1" w:rsidP="00D5313C">
      <w:pPr>
        <w:rPr>
          <w:b/>
        </w:rPr>
      </w:pPr>
      <w:r w:rsidRPr="00D5313C">
        <w:rPr>
          <w:b/>
        </w:rPr>
        <w:t>Initial allowances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2E2CD1" w14:paraId="4B7E2CC0" w14:textId="77777777" w:rsidTr="002E2CD1">
        <w:tc>
          <w:tcPr>
            <w:tcW w:w="2500" w:type="pct"/>
          </w:tcPr>
          <w:p w14:paraId="28631361" w14:textId="77777777" w:rsidR="002E2CD1" w:rsidRDefault="002E2CD1" w:rsidP="002E2CD1">
            <w:pPr>
              <w:spacing w:after="0" w:line="240" w:lineRule="auto"/>
            </w:pPr>
            <w:r>
              <w:t xml:space="preserve">Annual investment allowance: </w:t>
            </w:r>
          </w:p>
          <w:p w14:paraId="7BEB36D1" w14:textId="1B31876C" w:rsidR="002E2CD1" w:rsidRDefault="002E2CD1" w:rsidP="00BF7040">
            <w:pPr>
              <w:spacing w:after="0" w:line="240" w:lineRule="auto"/>
            </w:pPr>
            <w:r>
              <w:t>on first £</w:t>
            </w:r>
            <w:r w:rsidR="00BF7040">
              <w:t>1m</w:t>
            </w:r>
            <w:r>
              <w:t xml:space="preserve"> (excludes cars)</w:t>
            </w:r>
            <w:r w:rsidR="00773F16">
              <w:t>*</w:t>
            </w:r>
          </w:p>
        </w:tc>
        <w:tc>
          <w:tcPr>
            <w:tcW w:w="2500" w:type="pct"/>
          </w:tcPr>
          <w:p w14:paraId="09A2F42E" w14:textId="77777777" w:rsidR="002E2CD1" w:rsidRDefault="002E2CD1" w:rsidP="002E2CD1">
            <w:pPr>
              <w:spacing w:after="0" w:line="240" w:lineRule="auto"/>
            </w:pPr>
            <w:r>
              <w:t>100%</w:t>
            </w:r>
          </w:p>
        </w:tc>
      </w:tr>
      <w:tr w:rsidR="00E65636" w14:paraId="4144D439" w14:textId="77777777" w:rsidTr="00E65636">
        <w:tc>
          <w:tcPr>
            <w:tcW w:w="2500" w:type="pct"/>
            <w:tcBorders>
              <w:top w:val="single" w:sz="4" w:space="0" w:color="auto"/>
              <w:left w:val="single" w:sz="4" w:space="0" w:color="auto"/>
              <w:bottom w:val="single" w:sz="4" w:space="0" w:color="auto"/>
              <w:right w:val="single" w:sz="4" w:space="0" w:color="auto"/>
            </w:tcBorders>
          </w:tcPr>
          <w:p w14:paraId="4044778B" w14:textId="0445929E" w:rsidR="00E65636" w:rsidRDefault="00E65636" w:rsidP="00327E7E">
            <w:pPr>
              <w:spacing w:after="0" w:line="240" w:lineRule="auto"/>
            </w:pPr>
            <w:r>
              <w:t>First-year allowance: for certain environmentally beneficial equipment, new and unused electric and low CO</w:t>
            </w:r>
            <w:r>
              <w:rPr>
                <w:b/>
                <w:bCs/>
                <w:vertAlign w:val="subscript"/>
              </w:rPr>
              <w:t>2</w:t>
            </w:r>
            <w:r>
              <w:rPr>
                <w:vertAlign w:val="subscript"/>
              </w:rPr>
              <w:t xml:space="preserve"> </w:t>
            </w:r>
            <w:r>
              <w:t>emission cars (up to 50g/km)</w:t>
            </w:r>
          </w:p>
        </w:tc>
        <w:tc>
          <w:tcPr>
            <w:tcW w:w="2500" w:type="pct"/>
            <w:tcBorders>
              <w:top w:val="single" w:sz="4" w:space="0" w:color="auto"/>
              <w:left w:val="single" w:sz="4" w:space="0" w:color="auto"/>
              <w:bottom w:val="single" w:sz="4" w:space="0" w:color="auto"/>
              <w:right w:val="single" w:sz="4" w:space="0" w:color="auto"/>
            </w:tcBorders>
          </w:tcPr>
          <w:p w14:paraId="1DAAECA2" w14:textId="7D3F8A75" w:rsidR="00E65636" w:rsidRDefault="00E65636" w:rsidP="00327E7E">
            <w:pPr>
              <w:spacing w:after="0" w:line="240" w:lineRule="auto"/>
            </w:pPr>
            <w:r>
              <w:t>100%</w:t>
            </w:r>
          </w:p>
        </w:tc>
      </w:tr>
    </w:tbl>
    <w:p w14:paraId="4287A9C0" w14:textId="09AFABE9" w:rsidR="002E2CD1" w:rsidRPr="00FD0AD5" w:rsidRDefault="00773F16" w:rsidP="00C01992">
      <w:pPr>
        <w:rPr>
          <w:rFonts w:asciiTheme="minorHAnsi" w:hAnsiTheme="minorHAnsi" w:cs="Times New Roman"/>
        </w:rPr>
      </w:pPr>
      <w:r w:rsidRPr="00FD0AD5">
        <w:rPr>
          <w:rFonts w:asciiTheme="minorHAnsi" w:hAnsiTheme="minorHAnsi" w:cs="Times New Roman"/>
        </w:rPr>
        <w:t>*Applies from 1 January 2019 to 31 December 2020. Transitional rules may apply for chargeable periods spanning these dates.</w:t>
      </w:r>
    </w:p>
    <w:p w14:paraId="69880915" w14:textId="75A17007" w:rsidR="002E2CD1" w:rsidRPr="00D5313C" w:rsidRDefault="000D2F33" w:rsidP="00D5313C">
      <w:pPr>
        <w:rPr>
          <w:b/>
        </w:rPr>
      </w:pPr>
      <w:r>
        <w:rPr>
          <w:b/>
        </w:rPr>
        <w:t>Writing-</w:t>
      </w:r>
      <w:r w:rsidR="002E2CD1" w:rsidRPr="00D5313C">
        <w:rPr>
          <w:b/>
        </w:rPr>
        <w:t xml:space="preserve">down allowances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2E2CD1" w14:paraId="4BC316B7" w14:textId="77777777" w:rsidTr="002E2CD1">
        <w:tc>
          <w:tcPr>
            <w:tcW w:w="3333" w:type="pct"/>
            <w:gridSpan w:val="2"/>
          </w:tcPr>
          <w:p w14:paraId="22D15EC5" w14:textId="7AEF31F3" w:rsidR="002E2CD1" w:rsidRDefault="00E65636" w:rsidP="002E2CD1">
            <w:pPr>
              <w:spacing w:after="0" w:line="240" w:lineRule="auto"/>
            </w:pPr>
            <w:r>
              <w:t>P</w:t>
            </w:r>
            <w:r w:rsidR="002E2CD1">
              <w:t>lant and machinery</w:t>
            </w:r>
            <w:r w:rsidR="00620410">
              <w:t xml:space="preserve"> main-</w:t>
            </w:r>
            <w:r>
              <w:t>rate expenditure</w:t>
            </w:r>
          </w:p>
        </w:tc>
        <w:tc>
          <w:tcPr>
            <w:tcW w:w="1667" w:type="pct"/>
          </w:tcPr>
          <w:p w14:paraId="552D73DF" w14:textId="70315165" w:rsidR="002E2CD1" w:rsidRDefault="002E2CD1" w:rsidP="002E2CD1">
            <w:pPr>
              <w:spacing w:after="0" w:line="240" w:lineRule="auto"/>
            </w:pPr>
            <w:r>
              <w:t>18%</w:t>
            </w:r>
            <w:r w:rsidR="00CB5CD6">
              <w:t xml:space="preserve"> </w:t>
            </w:r>
          </w:p>
        </w:tc>
      </w:tr>
      <w:tr w:rsidR="002E2CD1" w14:paraId="0D263443" w14:textId="77777777" w:rsidTr="002E2CD1">
        <w:tc>
          <w:tcPr>
            <w:tcW w:w="3333" w:type="pct"/>
            <w:gridSpan w:val="2"/>
          </w:tcPr>
          <w:p w14:paraId="164B491E" w14:textId="7CFB49BC" w:rsidR="002E2CD1" w:rsidRDefault="00E65636" w:rsidP="002E2CD1">
            <w:pPr>
              <w:spacing w:after="0" w:line="240" w:lineRule="auto"/>
            </w:pPr>
            <w:r>
              <w:t>Plant and machi</w:t>
            </w:r>
            <w:r w:rsidR="00620410">
              <w:t>nery special-</w:t>
            </w:r>
            <w:r>
              <w:t>rate expenditure</w:t>
            </w:r>
          </w:p>
        </w:tc>
        <w:tc>
          <w:tcPr>
            <w:tcW w:w="1667" w:type="pct"/>
          </w:tcPr>
          <w:p w14:paraId="6140C72F" w14:textId="72DA6F4C" w:rsidR="002E2CD1" w:rsidRDefault="00BF7040" w:rsidP="002E2CD1">
            <w:pPr>
              <w:spacing w:after="0" w:line="240" w:lineRule="auto"/>
            </w:pPr>
            <w:r>
              <w:t>6</w:t>
            </w:r>
            <w:r w:rsidR="002E2CD1">
              <w:t>%</w:t>
            </w:r>
            <w:r w:rsidR="00CB5CD6">
              <w:t xml:space="preserve"> </w:t>
            </w:r>
          </w:p>
        </w:tc>
      </w:tr>
      <w:tr w:rsidR="002E2CD1" w14:paraId="1C795E24" w14:textId="77777777" w:rsidTr="002E2CD1">
        <w:trPr>
          <w:cantSplit/>
        </w:trPr>
        <w:tc>
          <w:tcPr>
            <w:tcW w:w="1666" w:type="pct"/>
            <w:vMerge w:val="restart"/>
          </w:tcPr>
          <w:p w14:paraId="0DAFAE2F" w14:textId="77777777" w:rsidR="002E2CD1" w:rsidRDefault="002E2CD1" w:rsidP="002E2CD1">
            <w:pPr>
              <w:spacing w:after="0" w:line="240" w:lineRule="auto"/>
            </w:pPr>
            <w:r>
              <w:t>Cars</w:t>
            </w:r>
          </w:p>
        </w:tc>
        <w:tc>
          <w:tcPr>
            <w:tcW w:w="1667" w:type="pct"/>
          </w:tcPr>
          <w:p w14:paraId="27B9EB43" w14:textId="77777777" w:rsidR="002E2CD1" w:rsidRDefault="002E2CD1" w:rsidP="002E2CD1">
            <w:pPr>
              <w:spacing w:after="0" w:line="240" w:lineRule="auto"/>
            </w:pPr>
            <w:r>
              <w:t>51g/km – 110g/km</w:t>
            </w:r>
          </w:p>
        </w:tc>
        <w:tc>
          <w:tcPr>
            <w:tcW w:w="1667" w:type="pct"/>
          </w:tcPr>
          <w:p w14:paraId="228326EF" w14:textId="35AB6D06" w:rsidR="002E2CD1" w:rsidRDefault="002E2CD1" w:rsidP="002E2CD1">
            <w:pPr>
              <w:spacing w:after="0" w:line="240" w:lineRule="auto"/>
            </w:pPr>
            <w:r>
              <w:t>18%</w:t>
            </w:r>
            <w:r w:rsidR="00CB5CD6">
              <w:t xml:space="preserve"> </w:t>
            </w:r>
          </w:p>
        </w:tc>
      </w:tr>
      <w:tr w:rsidR="002E2CD1" w14:paraId="6EE546BB" w14:textId="77777777" w:rsidTr="002E2CD1">
        <w:trPr>
          <w:cantSplit/>
        </w:trPr>
        <w:tc>
          <w:tcPr>
            <w:tcW w:w="0" w:type="auto"/>
            <w:vMerge/>
            <w:vAlign w:val="center"/>
          </w:tcPr>
          <w:p w14:paraId="771D5135" w14:textId="77777777" w:rsidR="002E2CD1" w:rsidRDefault="002E2CD1" w:rsidP="002E2CD1">
            <w:pPr>
              <w:spacing w:after="0" w:line="240" w:lineRule="auto"/>
              <w:rPr>
                <w:rFonts w:ascii="Times New Roman" w:hAnsi="Times New Roman" w:cs="Times New Roman"/>
              </w:rPr>
            </w:pPr>
          </w:p>
        </w:tc>
        <w:tc>
          <w:tcPr>
            <w:tcW w:w="1667" w:type="pct"/>
          </w:tcPr>
          <w:p w14:paraId="3AC15F0E" w14:textId="74299AC9" w:rsidR="002E2CD1" w:rsidRDefault="002E2CD1" w:rsidP="002E2CD1">
            <w:pPr>
              <w:spacing w:after="0" w:line="240" w:lineRule="auto"/>
            </w:pPr>
            <w:r>
              <w:t>Over 110g/km</w:t>
            </w:r>
          </w:p>
        </w:tc>
        <w:tc>
          <w:tcPr>
            <w:tcW w:w="1667" w:type="pct"/>
          </w:tcPr>
          <w:p w14:paraId="27687F38" w14:textId="41403B24" w:rsidR="002E2CD1" w:rsidRDefault="002E2CD1" w:rsidP="002E2CD1">
            <w:pPr>
              <w:spacing w:after="0" w:line="240" w:lineRule="auto"/>
            </w:pPr>
            <w:r>
              <w:t>8%</w:t>
            </w:r>
            <w:r w:rsidR="00CB5CD6">
              <w:t xml:space="preserve"> </w:t>
            </w:r>
          </w:p>
        </w:tc>
      </w:tr>
      <w:tr w:rsidR="002E2CD1" w14:paraId="761A21E2" w14:textId="77777777" w:rsidTr="002E2CD1">
        <w:trPr>
          <w:cantSplit/>
        </w:trPr>
        <w:tc>
          <w:tcPr>
            <w:tcW w:w="3333" w:type="pct"/>
            <w:gridSpan w:val="2"/>
            <w:vAlign w:val="center"/>
          </w:tcPr>
          <w:p w14:paraId="6CD76765" w14:textId="3AB590EA" w:rsidR="002E2CD1" w:rsidRDefault="002E2CD1" w:rsidP="002E2CD1">
            <w:pPr>
              <w:spacing w:after="0" w:line="240" w:lineRule="auto"/>
            </w:pPr>
          </w:p>
        </w:tc>
        <w:tc>
          <w:tcPr>
            <w:tcW w:w="1667" w:type="pct"/>
          </w:tcPr>
          <w:p w14:paraId="1EA68A73" w14:textId="628528CA" w:rsidR="002E2CD1" w:rsidRDefault="002E2CD1" w:rsidP="002E2CD1">
            <w:pPr>
              <w:spacing w:after="0" w:line="240" w:lineRule="auto"/>
            </w:pPr>
          </w:p>
        </w:tc>
      </w:tr>
      <w:tr w:rsidR="00CB5CD6" w14:paraId="22E77BC3" w14:textId="77777777" w:rsidTr="002E2CD1">
        <w:trPr>
          <w:cantSplit/>
        </w:trPr>
        <w:tc>
          <w:tcPr>
            <w:tcW w:w="3333" w:type="pct"/>
            <w:gridSpan w:val="2"/>
            <w:vAlign w:val="center"/>
          </w:tcPr>
          <w:p w14:paraId="6E2DB9C8" w14:textId="2A445B8F" w:rsidR="00CB5CD6" w:rsidRDefault="00CB5CD6" w:rsidP="002E2CD1">
            <w:pPr>
              <w:spacing w:after="0" w:line="240" w:lineRule="auto"/>
            </w:pPr>
            <w:r>
              <w:t>Structures and buildings</w:t>
            </w:r>
            <w:r w:rsidR="00E65636">
              <w:t xml:space="preserve"> allowance</w:t>
            </w:r>
            <w:r>
              <w:t xml:space="preserve"> – straight line</w:t>
            </w:r>
          </w:p>
        </w:tc>
        <w:tc>
          <w:tcPr>
            <w:tcW w:w="1667" w:type="pct"/>
          </w:tcPr>
          <w:p w14:paraId="6B3D1F52" w14:textId="12BB8C2D" w:rsidR="00CB5CD6" w:rsidRDefault="00CB5CD6" w:rsidP="002E2CD1">
            <w:pPr>
              <w:spacing w:after="0" w:line="240" w:lineRule="auto"/>
            </w:pPr>
            <w:r>
              <w:t>2%</w:t>
            </w:r>
          </w:p>
        </w:tc>
      </w:tr>
      <w:tr w:rsidR="00CB5CD6" w14:paraId="2C84585A" w14:textId="77777777" w:rsidTr="002E2CD1">
        <w:trPr>
          <w:cantSplit/>
        </w:trPr>
        <w:tc>
          <w:tcPr>
            <w:tcW w:w="3333" w:type="pct"/>
            <w:gridSpan w:val="2"/>
            <w:vAlign w:val="center"/>
          </w:tcPr>
          <w:p w14:paraId="7E73DBE3" w14:textId="4F48BACA" w:rsidR="00CB5CD6" w:rsidRDefault="00CB5CD6" w:rsidP="002E2CD1">
            <w:pPr>
              <w:spacing w:after="0" w:line="240" w:lineRule="auto"/>
            </w:pPr>
            <w:r>
              <w:t>Electric</w:t>
            </w:r>
            <w:r w:rsidR="00620410">
              <w:t>al</w:t>
            </w:r>
            <w:r>
              <w:t xml:space="preserve"> charge point, energy and water-efficient equipment and electric vans</w:t>
            </w:r>
          </w:p>
        </w:tc>
        <w:tc>
          <w:tcPr>
            <w:tcW w:w="1667" w:type="pct"/>
          </w:tcPr>
          <w:p w14:paraId="3DC793F8" w14:textId="4D5D580E" w:rsidR="00CB5CD6" w:rsidRDefault="00CB5CD6" w:rsidP="002E2CD1">
            <w:pPr>
              <w:spacing w:after="0" w:line="240" w:lineRule="auto"/>
            </w:pPr>
            <w:r>
              <w:t>100%</w:t>
            </w:r>
          </w:p>
        </w:tc>
      </w:tr>
    </w:tbl>
    <w:p w14:paraId="6392DF93" w14:textId="5D0B7005" w:rsidR="002E2CD1" w:rsidRDefault="000D2F33" w:rsidP="000D2F33">
      <w:pPr>
        <w:pStyle w:val="Heading2"/>
      </w:pPr>
      <w:r>
        <w:t>VAT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2551"/>
        <w:gridCol w:w="2551"/>
      </w:tblGrid>
      <w:tr w:rsidR="005707CD" w14:paraId="5C05AF69" w14:textId="77777777" w:rsidTr="00B578ED">
        <w:tc>
          <w:tcPr>
            <w:tcW w:w="3900" w:type="dxa"/>
            <w:shd w:val="clear" w:color="auto" w:fill="D9D9D9"/>
          </w:tcPr>
          <w:p w14:paraId="1497E9A4" w14:textId="77777777" w:rsidR="005707CD" w:rsidRDefault="005707CD" w:rsidP="002E2CD1">
            <w:pPr>
              <w:spacing w:after="0" w:line="240" w:lineRule="auto"/>
              <w:rPr>
                <w:b/>
                <w:bCs/>
              </w:rPr>
            </w:pPr>
            <w:r>
              <w:rPr>
                <w:b/>
                <w:bCs/>
              </w:rPr>
              <w:t>From 1 April</w:t>
            </w:r>
          </w:p>
        </w:tc>
        <w:tc>
          <w:tcPr>
            <w:tcW w:w="2551" w:type="dxa"/>
            <w:shd w:val="clear" w:color="auto" w:fill="D9D9D9"/>
          </w:tcPr>
          <w:p w14:paraId="22EAE6E3" w14:textId="77777777" w:rsidR="005707CD" w:rsidRDefault="005707CD" w:rsidP="002E2CD1">
            <w:pPr>
              <w:spacing w:after="0" w:line="240" w:lineRule="auto"/>
              <w:rPr>
                <w:b/>
                <w:bCs/>
              </w:rPr>
            </w:pPr>
            <w:r>
              <w:rPr>
                <w:b/>
                <w:bCs/>
              </w:rPr>
              <w:t>2019</w:t>
            </w:r>
          </w:p>
        </w:tc>
        <w:tc>
          <w:tcPr>
            <w:tcW w:w="2551" w:type="dxa"/>
            <w:shd w:val="clear" w:color="auto" w:fill="D9D9D9"/>
          </w:tcPr>
          <w:p w14:paraId="28A84FAF" w14:textId="77777777" w:rsidR="005707CD" w:rsidRDefault="005707CD" w:rsidP="002E2CD1">
            <w:pPr>
              <w:spacing w:after="0" w:line="240" w:lineRule="auto"/>
              <w:rPr>
                <w:b/>
                <w:bCs/>
              </w:rPr>
            </w:pPr>
            <w:r>
              <w:rPr>
                <w:b/>
                <w:bCs/>
              </w:rPr>
              <w:t>2018</w:t>
            </w:r>
          </w:p>
        </w:tc>
      </w:tr>
      <w:tr w:rsidR="005707CD" w14:paraId="133DAAF5" w14:textId="77777777" w:rsidTr="00B578ED">
        <w:tc>
          <w:tcPr>
            <w:tcW w:w="3900" w:type="dxa"/>
          </w:tcPr>
          <w:p w14:paraId="612729E2" w14:textId="77777777" w:rsidR="005707CD" w:rsidRDefault="005707CD" w:rsidP="002E2CD1">
            <w:pPr>
              <w:spacing w:after="0" w:line="240" w:lineRule="auto"/>
            </w:pPr>
            <w:r>
              <w:t>Standard rate</w:t>
            </w:r>
          </w:p>
        </w:tc>
        <w:tc>
          <w:tcPr>
            <w:tcW w:w="2551" w:type="dxa"/>
          </w:tcPr>
          <w:p w14:paraId="367E9BAB" w14:textId="222F8072" w:rsidR="005707CD" w:rsidRPr="002E2CD1" w:rsidRDefault="00BF7040" w:rsidP="002E2CD1">
            <w:pPr>
              <w:spacing w:after="0" w:line="240" w:lineRule="auto"/>
              <w:rPr>
                <w:rFonts w:asciiTheme="minorHAnsi" w:hAnsiTheme="minorHAnsi" w:cstheme="minorHAnsi"/>
              </w:rPr>
            </w:pPr>
            <w:r>
              <w:rPr>
                <w:rFonts w:asciiTheme="minorHAnsi" w:hAnsiTheme="minorHAnsi" w:cstheme="minorHAnsi"/>
              </w:rPr>
              <w:t>20%</w:t>
            </w:r>
          </w:p>
        </w:tc>
        <w:tc>
          <w:tcPr>
            <w:tcW w:w="2551" w:type="dxa"/>
          </w:tcPr>
          <w:p w14:paraId="3226BD6C"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20%</w:t>
            </w:r>
          </w:p>
        </w:tc>
      </w:tr>
      <w:tr w:rsidR="005707CD" w14:paraId="46886928" w14:textId="77777777" w:rsidTr="00B578ED">
        <w:tc>
          <w:tcPr>
            <w:tcW w:w="3900" w:type="dxa"/>
          </w:tcPr>
          <w:p w14:paraId="3FD440DC" w14:textId="77777777" w:rsidR="005707CD" w:rsidRDefault="005707CD" w:rsidP="002E2CD1">
            <w:pPr>
              <w:spacing w:after="0" w:line="240" w:lineRule="auto"/>
            </w:pPr>
            <w:r>
              <w:t>VAT fraction</w:t>
            </w:r>
          </w:p>
        </w:tc>
        <w:tc>
          <w:tcPr>
            <w:tcW w:w="2551" w:type="dxa"/>
          </w:tcPr>
          <w:p w14:paraId="4CC9192E" w14:textId="135F5914" w:rsidR="005707CD" w:rsidRPr="002E2CD1" w:rsidRDefault="00BF7040" w:rsidP="002E2CD1">
            <w:pPr>
              <w:spacing w:after="0" w:line="240" w:lineRule="auto"/>
              <w:rPr>
                <w:rFonts w:asciiTheme="minorHAnsi" w:hAnsiTheme="minorHAnsi" w:cstheme="minorHAnsi"/>
              </w:rPr>
            </w:pPr>
            <w:r>
              <w:rPr>
                <w:rFonts w:asciiTheme="minorHAnsi" w:hAnsiTheme="minorHAnsi" w:cstheme="minorHAnsi"/>
              </w:rPr>
              <w:t>1/6</w:t>
            </w:r>
          </w:p>
        </w:tc>
        <w:tc>
          <w:tcPr>
            <w:tcW w:w="2551" w:type="dxa"/>
          </w:tcPr>
          <w:p w14:paraId="59D7CAB5"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1/6</w:t>
            </w:r>
          </w:p>
        </w:tc>
      </w:tr>
      <w:tr w:rsidR="005707CD" w14:paraId="413F4352" w14:textId="77777777" w:rsidTr="00B578ED">
        <w:tc>
          <w:tcPr>
            <w:tcW w:w="3900" w:type="dxa"/>
          </w:tcPr>
          <w:p w14:paraId="7A36F07B" w14:textId="40BA1DDA" w:rsidR="005707CD" w:rsidRDefault="005707CD" w:rsidP="000D2F33">
            <w:pPr>
              <w:spacing w:after="0" w:line="240" w:lineRule="auto"/>
            </w:pPr>
            <w:r>
              <w:t>Reduced rate</w:t>
            </w:r>
            <w:r w:rsidR="000D2F33">
              <w:t>,</w:t>
            </w:r>
            <w:r>
              <w:t xml:space="preserve"> </w:t>
            </w:r>
            <w:proofErr w:type="spellStart"/>
            <w:r>
              <w:t>eg</w:t>
            </w:r>
            <w:proofErr w:type="spellEnd"/>
            <w:r>
              <w:t xml:space="preserve"> on domestic fuel</w:t>
            </w:r>
          </w:p>
        </w:tc>
        <w:tc>
          <w:tcPr>
            <w:tcW w:w="2551" w:type="dxa"/>
          </w:tcPr>
          <w:p w14:paraId="28B48D6E" w14:textId="4BE90891" w:rsidR="005707CD" w:rsidRPr="002E2CD1" w:rsidRDefault="00BF7040" w:rsidP="002E2CD1">
            <w:pPr>
              <w:spacing w:after="0" w:line="240" w:lineRule="auto"/>
              <w:rPr>
                <w:rFonts w:asciiTheme="minorHAnsi" w:hAnsiTheme="minorHAnsi" w:cstheme="minorHAnsi"/>
              </w:rPr>
            </w:pPr>
            <w:r>
              <w:rPr>
                <w:rFonts w:asciiTheme="minorHAnsi" w:hAnsiTheme="minorHAnsi" w:cstheme="minorHAnsi"/>
              </w:rPr>
              <w:t>5%</w:t>
            </w:r>
          </w:p>
        </w:tc>
        <w:tc>
          <w:tcPr>
            <w:tcW w:w="2551" w:type="dxa"/>
          </w:tcPr>
          <w:p w14:paraId="31A27A6C"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5%</w:t>
            </w:r>
          </w:p>
        </w:tc>
      </w:tr>
      <w:tr w:rsidR="005707CD" w14:paraId="61679E3C" w14:textId="77777777" w:rsidTr="00B578ED">
        <w:tc>
          <w:tcPr>
            <w:tcW w:w="3900" w:type="dxa"/>
          </w:tcPr>
          <w:p w14:paraId="33068292" w14:textId="77777777" w:rsidR="005707CD" w:rsidRDefault="005707CD" w:rsidP="002E2CD1">
            <w:pPr>
              <w:spacing w:after="0" w:line="240" w:lineRule="auto"/>
            </w:pPr>
            <w:r>
              <w:t>VAT fraction</w:t>
            </w:r>
          </w:p>
        </w:tc>
        <w:tc>
          <w:tcPr>
            <w:tcW w:w="2551" w:type="dxa"/>
          </w:tcPr>
          <w:p w14:paraId="1BCBF674" w14:textId="45FA7446" w:rsidR="005707CD" w:rsidRPr="002E2CD1" w:rsidRDefault="00BF7040" w:rsidP="002E2CD1">
            <w:pPr>
              <w:spacing w:after="0" w:line="240" w:lineRule="auto"/>
              <w:rPr>
                <w:rFonts w:asciiTheme="minorHAnsi" w:hAnsiTheme="minorHAnsi" w:cstheme="minorHAnsi"/>
              </w:rPr>
            </w:pPr>
            <w:r>
              <w:rPr>
                <w:rFonts w:asciiTheme="minorHAnsi" w:hAnsiTheme="minorHAnsi" w:cstheme="minorHAnsi"/>
              </w:rPr>
              <w:t>1/21</w:t>
            </w:r>
          </w:p>
        </w:tc>
        <w:tc>
          <w:tcPr>
            <w:tcW w:w="2551" w:type="dxa"/>
          </w:tcPr>
          <w:p w14:paraId="7ABA8AB1" w14:textId="77777777" w:rsidR="005707CD" w:rsidRPr="002E2CD1" w:rsidRDefault="005707CD" w:rsidP="002E2CD1">
            <w:pPr>
              <w:spacing w:after="0" w:line="240" w:lineRule="auto"/>
              <w:rPr>
                <w:rFonts w:asciiTheme="minorHAnsi" w:hAnsiTheme="minorHAnsi" w:cstheme="minorHAnsi"/>
              </w:rPr>
            </w:pPr>
            <w:r w:rsidRPr="002E2CD1">
              <w:rPr>
                <w:rFonts w:asciiTheme="minorHAnsi" w:hAnsiTheme="minorHAnsi" w:cstheme="minorHAnsi"/>
              </w:rPr>
              <w:t>1/21</w:t>
            </w:r>
          </w:p>
        </w:tc>
      </w:tr>
      <w:tr w:rsidR="00E65636" w:rsidRPr="002E2CD1" w14:paraId="32A1F93E" w14:textId="77777777" w:rsidTr="00E65636">
        <w:tc>
          <w:tcPr>
            <w:tcW w:w="3900" w:type="dxa"/>
            <w:tcBorders>
              <w:top w:val="single" w:sz="4" w:space="0" w:color="auto"/>
              <w:left w:val="single" w:sz="4" w:space="0" w:color="auto"/>
              <w:bottom w:val="single" w:sz="4" w:space="0" w:color="auto"/>
              <w:right w:val="single" w:sz="4" w:space="0" w:color="auto"/>
            </w:tcBorders>
          </w:tcPr>
          <w:p w14:paraId="7601D546" w14:textId="33AE8431" w:rsidR="00E65636" w:rsidRDefault="00E65636" w:rsidP="00327E7E">
            <w:pPr>
              <w:spacing w:after="0" w:line="240" w:lineRule="auto"/>
            </w:pPr>
            <w:r>
              <w:t>Zero rate</w:t>
            </w:r>
          </w:p>
        </w:tc>
        <w:tc>
          <w:tcPr>
            <w:tcW w:w="2551" w:type="dxa"/>
            <w:tcBorders>
              <w:top w:val="single" w:sz="4" w:space="0" w:color="auto"/>
              <w:left w:val="single" w:sz="4" w:space="0" w:color="auto"/>
              <w:bottom w:val="single" w:sz="4" w:space="0" w:color="auto"/>
              <w:right w:val="single" w:sz="4" w:space="0" w:color="auto"/>
            </w:tcBorders>
          </w:tcPr>
          <w:p w14:paraId="3F5FCA8D" w14:textId="56214E6F" w:rsidR="00E65636" w:rsidRPr="002E2CD1" w:rsidRDefault="00E65636" w:rsidP="00327E7E">
            <w:pPr>
              <w:spacing w:after="0" w:line="240" w:lineRule="auto"/>
              <w:rPr>
                <w:rFonts w:asciiTheme="minorHAnsi" w:hAnsiTheme="minorHAnsi" w:cstheme="minorHAnsi"/>
              </w:rPr>
            </w:pPr>
            <w:r>
              <w:rPr>
                <w:rFonts w:asciiTheme="minorHAnsi" w:hAnsiTheme="minorHAnsi" w:cstheme="minorHAnsi"/>
              </w:rPr>
              <w:t>0%</w:t>
            </w:r>
          </w:p>
        </w:tc>
        <w:tc>
          <w:tcPr>
            <w:tcW w:w="2551" w:type="dxa"/>
            <w:tcBorders>
              <w:top w:val="single" w:sz="4" w:space="0" w:color="auto"/>
              <w:left w:val="single" w:sz="4" w:space="0" w:color="auto"/>
              <w:bottom w:val="single" w:sz="4" w:space="0" w:color="auto"/>
              <w:right w:val="single" w:sz="4" w:space="0" w:color="auto"/>
            </w:tcBorders>
          </w:tcPr>
          <w:p w14:paraId="58EA6142" w14:textId="3E5D81E3" w:rsidR="00E65636" w:rsidRPr="002E2CD1" w:rsidRDefault="00E65636" w:rsidP="00327E7E">
            <w:pPr>
              <w:spacing w:after="0" w:line="240" w:lineRule="auto"/>
              <w:rPr>
                <w:rFonts w:asciiTheme="minorHAnsi" w:hAnsiTheme="minorHAnsi" w:cstheme="minorHAnsi"/>
              </w:rPr>
            </w:pPr>
            <w:r>
              <w:rPr>
                <w:rFonts w:asciiTheme="minorHAnsi" w:hAnsiTheme="minorHAnsi" w:cstheme="minorHAnsi"/>
              </w:rPr>
              <w:t>0</w:t>
            </w:r>
            <w:r w:rsidRPr="002E2CD1">
              <w:rPr>
                <w:rFonts w:asciiTheme="minorHAnsi" w:hAnsiTheme="minorHAnsi" w:cstheme="minorHAnsi"/>
              </w:rPr>
              <w:t>%</w:t>
            </w:r>
          </w:p>
        </w:tc>
      </w:tr>
      <w:tr w:rsidR="00E65636" w:rsidRPr="002E2CD1" w14:paraId="71EA7F93" w14:textId="77777777" w:rsidTr="00E65636">
        <w:tc>
          <w:tcPr>
            <w:tcW w:w="3900" w:type="dxa"/>
            <w:tcBorders>
              <w:top w:val="single" w:sz="4" w:space="0" w:color="auto"/>
              <w:left w:val="single" w:sz="4" w:space="0" w:color="auto"/>
              <w:bottom w:val="single" w:sz="4" w:space="0" w:color="auto"/>
              <w:right w:val="single" w:sz="4" w:space="0" w:color="auto"/>
            </w:tcBorders>
          </w:tcPr>
          <w:p w14:paraId="0AE39851" w14:textId="01AD62F5" w:rsidR="00E65636" w:rsidRDefault="00E65636" w:rsidP="00327E7E">
            <w:pPr>
              <w:spacing w:after="0" w:line="240" w:lineRule="auto"/>
            </w:pPr>
            <w:r>
              <w:t>Exempt</w:t>
            </w:r>
          </w:p>
        </w:tc>
        <w:tc>
          <w:tcPr>
            <w:tcW w:w="2551" w:type="dxa"/>
            <w:tcBorders>
              <w:top w:val="single" w:sz="4" w:space="0" w:color="auto"/>
              <w:left w:val="single" w:sz="4" w:space="0" w:color="auto"/>
              <w:bottom w:val="single" w:sz="4" w:space="0" w:color="auto"/>
              <w:right w:val="single" w:sz="4" w:space="0" w:color="auto"/>
            </w:tcBorders>
          </w:tcPr>
          <w:p w14:paraId="58571844" w14:textId="4C03B05D" w:rsidR="00E65636" w:rsidRPr="002E2CD1" w:rsidRDefault="00E65636" w:rsidP="00327E7E">
            <w:pPr>
              <w:spacing w:after="0" w:line="240" w:lineRule="auto"/>
              <w:rPr>
                <w:rFonts w:asciiTheme="minorHAnsi" w:hAnsiTheme="minorHAnsi" w:cstheme="minorHAnsi"/>
              </w:rPr>
            </w:pPr>
            <w:r>
              <w:rPr>
                <w:rFonts w:asciiTheme="minorHAnsi" w:hAnsiTheme="minorHAnsi" w:cstheme="minorHAnsi"/>
              </w:rPr>
              <w:t>N/A</w:t>
            </w:r>
          </w:p>
        </w:tc>
        <w:tc>
          <w:tcPr>
            <w:tcW w:w="2551" w:type="dxa"/>
            <w:tcBorders>
              <w:top w:val="single" w:sz="4" w:space="0" w:color="auto"/>
              <w:left w:val="single" w:sz="4" w:space="0" w:color="auto"/>
              <w:bottom w:val="single" w:sz="4" w:space="0" w:color="auto"/>
              <w:right w:val="single" w:sz="4" w:space="0" w:color="auto"/>
            </w:tcBorders>
          </w:tcPr>
          <w:p w14:paraId="204AD56D" w14:textId="57FEE8B3" w:rsidR="00E65636" w:rsidRPr="002E2CD1" w:rsidRDefault="00E65636" w:rsidP="00327E7E">
            <w:pPr>
              <w:spacing w:after="0" w:line="240" w:lineRule="auto"/>
              <w:rPr>
                <w:rFonts w:asciiTheme="minorHAnsi" w:hAnsiTheme="minorHAnsi" w:cstheme="minorHAnsi"/>
              </w:rPr>
            </w:pPr>
            <w:r>
              <w:rPr>
                <w:rFonts w:asciiTheme="minorHAnsi" w:hAnsiTheme="minorHAnsi" w:cstheme="minorHAnsi"/>
              </w:rPr>
              <w:t>N/A</w:t>
            </w:r>
          </w:p>
        </w:tc>
      </w:tr>
    </w:tbl>
    <w:p w14:paraId="11352BE2" w14:textId="77777777" w:rsidR="002E2CD1" w:rsidRPr="00D5313C" w:rsidRDefault="002E2CD1" w:rsidP="00D5313C">
      <w:pPr>
        <w:rPr>
          <w:b/>
        </w:rPr>
      </w:pPr>
      <w:r w:rsidRPr="00D5313C">
        <w:rPr>
          <w:b/>
        </w:rPr>
        <w:t>Taxable turnover limits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gridCol w:w="1276"/>
        <w:gridCol w:w="1276"/>
      </w:tblGrid>
      <w:tr w:rsidR="005707CD" w14:paraId="7191FD7E" w14:textId="77777777" w:rsidTr="00B578ED">
        <w:tc>
          <w:tcPr>
            <w:tcW w:w="6735" w:type="dxa"/>
            <w:shd w:val="clear" w:color="auto" w:fill="D9D9D9"/>
          </w:tcPr>
          <w:p w14:paraId="3FE1361F" w14:textId="77777777" w:rsidR="005707CD" w:rsidRDefault="005707CD" w:rsidP="002E2CD1">
            <w:pPr>
              <w:spacing w:after="0" w:line="240" w:lineRule="auto"/>
              <w:rPr>
                <w:b/>
                <w:bCs/>
              </w:rPr>
            </w:pPr>
            <w:r>
              <w:rPr>
                <w:b/>
                <w:bCs/>
              </w:rPr>
              <w:t>From 1 April</w:t>
            </w:r>
          </w:p>
        </w:tc>
        <w:tc>
          <w:tcPr>
            <w:tcW w:w="1276" w:type="dxa"/>
            <w:shd w:val="clear" w:color="auto" w:fill="D9D9D9"/>
          </w:tcPr>
          <w:p w14:paraId="3DE625DE" w14:textId="77777777" w:rsidR="005707CD" w:rsidRDefault="005707CD" w:rsidP="002E2CD1">
            <w:pPr>
              <w:spacing w:after="0" w:line="240" w:lineRule="auto"/>
              <w:rPr>
                <w:b/>
                <w:bCs/>
              </w:rPr>
            </w:pPr>
            <w:r>
              <w:rPr>
                <w:b/>
                <w:bCs/>
              </w:rPr>
              <w:t>2019</w:t>
            </w:r>
          </w:p>
        </w:tc>
        <w:tc>
          <w:tcPr>
            <w:tcW w:w="1276" w:type="dxa"/>
            <w:shd w:val="clear" w:color="auto" w:fill="D9D9D9"/>
          </w:tcPr>
          <w:p w14:paraId="414790FC" w14:textId="77777777" w:rsidR="005707CD" w:rsidRDefault="005707CD" w:rsidP="002E2CD1">
            <w:pPr>
              <w:spacing w:after="0" w:line="240" w:lineRule="auto"/>
              <w:rPr>
                <w:b/>
                <w:bCs/>
              </w:rPr>
            </w:pPr>
            <w:r>
              <w:rPr>
                <w:b/>
                <w:bCs/>
              </w:rPr>
              <w:t>2018</w:t>
            </w:r>
          </w:p>
        </w:tc>
      </w:tr>
      <w:tr w:rsidR="005707CD" w14:paraId="34353BBF" w14:textId="77777777" w:rsidTr="00B578ED">
        <w:tc>
          <w:tcPr>
            <w:tcW w:w="6735" w:type="dxa"/>
          </w:tcPr>
          <w:p w14:paraId="08B6C4D6" w14:textId="77777777" w:rsidR="005707CD" w:rsidRDefault="005707CD" w:rsidP="002E2CD1">
            <w:pPr>
              <w:spacing w:after="0" w:line="240" w:lineRule="auto"/>
            </w:pPr>
            <w:r>
              <w:t>Registration (last 12 months or next 30 days) over</w:t>
            </w:r>
          </w:p>
        </w:tc>
        <w:tc>
          <w:tcPr>
            <w:tcW w:w="1276" w:type="dxa"/>
          </w:tcPr>
          <w:p w14:paraId="66A9F52B" w14:textId="344B73DA" w:rsidR="005707CD" w:rsidRDefault="00BF7040" w:rsidP="002E2CD1">
            <w:pPr>
              <w:spacing w:after="0" w:line="240" w:lineRule="auto"/>
            </w:pPr>
            <w:r>
              <w:t>£85,000</w:t>
            </w:r>
          </w:p>
        </w:tc>
        <w:tc>
          <w:tcPr>
            <w:tcW w:w="1276" w:type="dxa"/>
          </w:tcPr>
          <w:p w14:paraId="212F7200" w14:textId="77777777" w:rsidR="005707CD" w:rsidRDefault="005707CD" w:rsidP="002E2CD1">
            <w:pPr>
              <w:spacing w:after="0" w:line="240" w:lineRule="auto"/>
            </w:pPr>
            <w:r>
              <w:t>£85,000</w:t>
            </w:r>
          </w:p>
        </w:tc>
      </w:tr>
      <w:tr w:rsidR="005707CD" w14:paraId="70A43651" w14:textId="77777777" w:rsidTr="00B578ED">
        <w:tc>
          <w:tcPr>
            <w:tcW w:w="6735" w:type="dxa"/>
          </w:tcPr>
          <w:p w14:paraId="7941EEBE" w14:textId="77777777" w:rsidR="005707CD" w:rsidRDefault="005707CD" w:rsidP="002E2CD1">
            <w:pPr>
              <w:spacing w:after="0" w:line="240" w:lineRule="auto"/>
            </w:pPr>
            <w:r>
              <w:t>Deregistration (next year) under</w:t>
            </w:r>
          </w:p>
        </w:tc>
        <w:tc>
          <w:tcPr>
            <w:tcW w:w="1276" w:type="dxa"/>
          </w:tcPr>
          <w:p w14:paraId="7170DF7D" w14:textId="4DA8448A" w:rsidR="005707CD" w:rsidRDefault="00BF7040" w:rsidP="002E2CD1">
            <w:pPr>
              <w:spacing w:after="0" w:line="240" w:lineRule="auto"/>
            </w:pPr>
            <w:r>
              <w:t>£83,000</w:t>
            </w:r>
          </w:p>
        </w:tc>
        <w:tc>
          <w:tcPr>
            <w:tcW w:w="1276" w:type="dxa"/>
          </w:tcPr>
          <w:p w14:paraId="123AB0FB" w14:textId="77777777" w:rsidR="005707CD" w:rsidRDefault="005707CD" w:rsidP="002E2CD1">
            <w:pPr>
              <w:spacing w:after="0" w:line="240" w:lineRule="auto"/>
            </w:pPr>
            <w:r>
              <w:t>£83,000</w:t>
            </w:r>
          </w:p>
        </w:tc>
      </w:tr>
      <w:tr w:rsidR="005707CD" w14:paraId="5B5CFEBF" w14:textId="77777777" w:rsidTr="00B578ED">
        <w:tc>
          <w:tcPr>
            <w:tcW w:w="6735" w:type="dxa"/>
          </w:tcPr>
          <w:p w14:paraId="66C4B6E9" w14:textId="6AC468F8" w:rsidR="005707CD" w:rsidRDefault="00E65636" w:rsidP="002E2CD1">
            <w:pPr>
              <w:spacing w:after="0" w:line="240" w:lineRule="auto"/>
            </w:pPr>
            <w:commentRangeStart w:id="0"/>
            <w:commentRangeEnd w:id="0"/>
            <w:r>
              <w:rPr>
                <w:rStyle w:val="CommentReference"/>
              </w:rPr>
              <w:commentReference w:id="0"/>
            </w:r>
          </w:p>
        </w:tc>
        <w:tc>
          <w:tcPr>
            <w:tcW w:w="1276" w:type="dxa"/>
          </w:tcPr>
          <w:p w14:paraId="23AA01A8" w14:textId="0BFBE8EF" w:rsidR="005707CD" w:rsidRDefault="005707CD" w:rsidP="002E2CD1">
            <w:pPr>
              <w:spacing w:after="0" w:line="240" w:lineRule="auto"/>
            </w:pPr>
          </w:p>
        </w:tc>
        <w:tc>
          <w:tcPr>
            <w:tcW w:w="1276" w:type="dxa"/>
          </w:tcPr>
          <w:p w14:paraId="4C0E4AEB" w14:textId="5A23CF72" w:rsidR="005707CD" w:rsidRDefault="005707CD" w:rsidP="002E2CD1">
            <w:pPr>
              <w:spacing w:after="0" w:line="240" w:lineRule="auto"/>
            </w:pPr>
          </w:p>
        </w:tc>
      </w:tr>
      <w:tr w:rsidR="005707CD" w14:paraId="2B93269C" w14:textId="77777777" w:rsidTr="00B578ED">
        <w:tc>
          <w:tcPr>
            <w:tcW w:w="6735" w:type="dxa"/>
          </w:tcPr>
          <w:p w14:paraId="19A5DC60" w14:textId="77777777" w:rsidR="005707CD" w:rsidRDefault="005707CD" w:rsidP="002E2CD1">
            <w:pPr>
              <w:spacing w:after="0" w:line="240" w:lineRule="auto"/>
            </w:pPr>
            <w:r>
              <w:t>Annual and cash accounting schemes turnover limit</w:t>
            </w:r>
          </w:p>
        </w:tc>
        <w:tc>
          <w:tcPr>
            <w:tcW w:w="1276" w:type="dxa"/>
          </w:tcPr>
          <w:p w14:paraId="0B041370" w14:textId="75C51FD0" w:rsidR="005707CD" w:rsidRDefault="006C58FA" w:rsidP="003B1F51">
            <w:pPr>
              <w:spacing w:after="0" w:line="240" w:lineRule="auto"/>
            </w:pPr>
            <w:r>
              <w:t>£1.35m</w:t>
            </w:r>
          </w:p>
        </w:tc>
        <w:tc>
          <w:tcPr>
            <w:tcW w:w="1276" w:type="dxa"/>
          </w:tcPr>
          <w:p w14:paraId="366A6AE2" w14:textId="77777777" w:rsidR="005707CD" w:rsidRDefault="005707CD" w:rsidP="003B1F51">
            <w:pPr>
              <w:spacing w:after="0" w:line="240" w:lineRule="auto"/>
            </w:pPr>
            <w:r>
              <w:t>£1.35m</w:t>
            </w:r>
          </w:p>
        </w:tc>
      </w:tr>
      <w:tr w:rsidR="005707CD" w14:paraId="105D8641" w14:textId="77777777" w:rsidTr="00B578ED">
        <w:tc>
          <w:tcPr>
            <w:tcW w:w="6735" w:type="dxa"/>
          </w:tcPr>
          <w:p w14:paraId="473D0597" w14:textId="41D1154D" w:rsidR="005707CD" w:rsidRDefault="000D2F33" w:rsidP="002E2CD1">
            <w:pPr>
              <w:spacing w:after="0" w:line="240" w:lineRule="auto"/>
            </w:pPr>
            <w:r>
              <w:t>Flat-</w:t>
            </w:r>
            <w:r w:rsidR="005707CD">
              <w:t>rate scheme</w:t>
            </w:r>
            <w:r w:rsidR="006C58FA">
              <w:t xml:space="preserve"> turnover limit</w:t>
            </w:r>
          </w:p>
        </w:tc>
        <w:tc>
          <w:tcPr>
            <w:tcW w:w="1276" w:type="dxa"/>
          </w:tcPr>
          <w:p w14:paraId="0B0C404F" w14:textId="255AB3C1" w:rsidR="005707CD" w:rsidRDefault="006C58FA" w:rsidP="002E2CD1">
            <w:pPr>
              <w:spacing w:after="0" w:line="240" w:lineRule="auto"/>
            </w:pPr>
            <w:r>
              <w:t>£150,000</w:t>
            </w:r>
          </w:p>
        </w:tc>
        <w:tc>
          <w:tcPr>
            <w:tcW w:w="1276" w:type="dxa"/>
          </w:tcPr>
          <w:p w14:paraId="700BD0FE" w14:textId="77777777" w:rsidR="005707CD" w:rsidRDefault="005707CD" w:rsidP="002E2CD1">
            <w:pPr>
              <w:spacing w:after="0" w:line="240" w:lineRule="auto"/>
            </w:pPr>
            <w:r>
              <w:t>£150,000</w:t>
            </w:r>
          </w:p>
        </w:tc>
      </w:tr>
    </w:tbl>
    <w:p w14:paraId="6EF42754" w14:textId="77777777" w:rsidR="002E2CD1" w:rsidRDefault="002E2CD1" w:rsidP="002E2CD1">
      <w:pPr>
        <w:rPr>
          <w:rFonts w:ascii="Times New Roman" w:hAnsi="Times New Roman" w:cs="Times New Roman"/>
        </w:rPr>
      </w:pPr>
    </w:p>
    <w:p w14:paraId="2795B8CE" w14:textId="632B8846" w:rsidR="00ED7E83" w:rsidRDefault="000D2F33" w:rsidP="000D2F33">
      <w:pPr>
        <w:pStyle w:val="Heading2"/>
        <w:rPr>
          <w:rFonts w:ascii="Times New Roman" w:hAnsi="Times New Roman" w:cs="Times New Roman"/>
        </w:rPr>
      </w:pPr>
      <w:r>
        <w:lastRenderedPageBreak/>
        <w:t>R</w:t>
      </w:r>
      <w:r w:rsidR="00620410">
        <w:t>ESEARCH AND DEVELOPMENT (R&amp;D)</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4641"/>
      </w:tblGrid>
      <w:tr w:rsidR="00ED7E83" w14:paraId="38CA527C" w14:textId="77777777" w:rsidTr="0087738D">
        <w:tc>
          <w:tcPr>
            <w:tcW w:w="2489" w:type="pct"/>
          </w:tcPr>
          <w:p w14:paraId="5DA07C10" w14:textId="77777777" w:rsidR="00ED7E83" w:rsidRDefault="00ED7E83" w:rsidP="00A26E75">
            <w:pPr>
              <w:spacing w:after="0" w:line="240" w:lineRule="auto"/>
            </w:pPr>
            <w:r>
              <w:t>Revenue expenditure – SMEs</w:t>
            </w:r>
          </w:p>
        </w:tc>
        <w:tc>
          <w:tcPr>
            <w:tcW w:w="2511" w:type="pct"/>
          </w:tcPr>
          <w:p w14:paraId="70C46101" w14:textId="77777777" w:rsidR="00ED7E83" w:rsidRDefault="00ED7E83" w:rsidP="00ED7E83">
            <w:pPr>
              <w:spacing w:after="0" w:line="240" w:lineRule="auto"/>
            </w:pPr>
            <w:r>
              <w:t>230%</w:t>
            </w:r>
          </w:p>
        </w:tc>
      </w:tr>
      <w:tr w:rsidR="00ED7E83" w14:paraId="6ABC7117" w14:textId="77777777" w:rsidTr="0087738D">
        <w:tc>
          <w:tcPr>
            <w:tcW w:w="2489" w:type="pct"/>
          </w:tcPr>
          <w:p w14:paraId="44CB20E9" w14:textId="77777777" w:rsidR="00ED7E83" w:rsidRDefault="00ED7E83" w:rsidP="00ED7E83">
            <w:pPr>
              <w:spacing w:after="0" w:line="240" w:lineRule="auto"/>
            </w:pPr>
            <w:r>
              <w:t>Capital expenditure – all companies</w:t>
            </w:r>
          </w:p>
        </w:tc>
        <w:tc>
          <w:tcPr>
            <w:tcW w:w="2511" w:type="pct"/>
          </w:tcPr>
          <w:p w14:paraId="3FBA5785" w14:textId="77777777" w:rsidR="00ED7E83" w:rsidRDefault="00ED7E83" w:rsidP="00ED7E83">
            <w:pPr>
              <w:spacing w:after="0" w:line="240" w:lineRule="auto"/>
            </w:pPr>
            <w:r>
              <w:t>100%</w:t>
            </w:r>
          </w:p>
        </w:tc>
      </w:tr>
      <w:tr w:rsidR="00ED7E83" w14:paraId="18BCB119" w14:textId="77777777" w:rsidTr="0087738D">
        <w:tc>
          <w:tcPr>
            <w:tcW w:w="2489" w:type="pct"/>
          </w:tcPr>
          <w:p w14:paraId="5A4B6F26" w14:textId="35F890B4" w:rsidR="00ED7E83" w:rsidRDefault="00E65636" w:rsidP="00ED7E83">
            <w:pPr>
              <w:spacing w:after="0" w:line="240" w:lineRule="auto"/>
              <w:rPr>
                <w:rFonts w:ascii="Times New Roman" w:hAnsi="Times New Roman" w:cs="Times New Roman"/>
              </w:rPr>
            </w:pPr>
            <w:r>
              <w:t>SME</w:t>
            </w:r>
            <w:r w:rsidR="00ED7E83">
              <w:t xml:space="preserve"> company R&amp;D </w:t>
            </w:r>
            <w:r>
              <w:t>payable tax credit</w:t>
            </w:r>
          </w:p>
        </w:tc>
        <w:tc>
          <w:tcPr>
            <w:tcW w:w="2511" w:type="pct"/>
          </w:tcPr>
          <w:p w14:paraId="1AF3DEF2" w14:textId="1BD42541" w:rsidR="00ED7E83" w:rsidRDefault="00E65636" w:rsidP="00ED7E83">
            <w:pPr>
              <w:spacing w:after="0" w:line="240" w:lineRule="auto"/>
              <w:rPr>
                <w:rFonts w:ascii="Times New Roman" w:hAnsi="Times New Roman" w:cs="Times New Roman"/>
              </w:rPr>
            </w:pPr>
            <w:r>
              <w:t>14.5</w:t>
            </w:r>
            <w:r w:rsidR="00ED7E83">
              <w:t>%</w:t>
            </w:r>
          </w:p>
        </w:tc>
      </w:tr>
      <w:tr w:rsidR="00E65636" w14:paraId="06078C24" w14:textId="77777777" w:rsidTr="00E65636">
        <w:tc>
          <w:tcPr>
            <w:tcW w:w="2489" w:type="pct"/>
            <w:tcBorders>
              <w:top w:val="single" w:sz="4" w:space="0" w:color="auto"/>
              <w:left w:val="single" w:sz="4" w:space="0" w:color="auto"/>
              <w:bottom w:val="single" w:sz="4" w:space="0" w:color="auto"/>
              <w:right w:val="single" w:sz="4" w:space="0" w:color="auto"/>
            </w:tcBorders>
          </w:tcPr>
          <w:p w14:paraId="4048EBCA" w14:textId="77777777" w:rsidR="00E65636" w:rsidRPr="00E65636" w:rsidRDefault="00E65636" w:rsidP="00327E7E">
            <w:pPr>
              <w:spacing w:after="0" w:line="240" w:lineRule="auto"/>
            </w:pPr>
            <w:r>
              <w:t>Large company R&amp;D taxable expenditure credit</w:t>
            </w:r>
          </w:p>
        </w:tc>
        <w:tc>
          <w:tcPr>
            <w:tcW w:w="2511" w:type="pct"/>
            <w:tcBorders>
              <w:top w:val="single" w:sz="4" w:space="0" w:color="auto"/>
              <w:left w:val="single" w:sz="4" w:space="0" w:color="auto"/>
              <w:bottom w:val="single" w:sz="4" w:space="0" w:color="auto"/>
              <w:right w:val="single" w:sz="4" w:space="0" w:color="auto"/>
            </w:tcBorders>
          </w:tcPr>
          <w:p w14:paraId="488A8B1C" w14:textId="77777777" w:rsidR="00E65636" w:rsidRPr="00E65636" w:rsidRDefault="00E65636" w:rsidP="00327E7E">
            <w:pPr>
              <w:spacing w:after="0" w:line="240" w:lineRule="auto"/>
            </w:pPr>
            <w:r>
              <w:t>12%</w:t>
            </w:r>
          </w:p>
        </w:tc>
      </w:tr>
    </w:tbl>
    <w:p w14:paraId="19E2D4FD" w14:textId="23796B80" w:rsidR="00A26E75" w:rsidRDefault="00A26E75" w:rsidP="00A26E75"/>
    <w:p w14:paraId="2E11BDA3" w14:textId="77777777" w:rsidR="00ED7E83" w:rsidRDefault="00ED7E83" w:rsidP="000D2F33">
      <w:pPr>
        <w:pStyle w:val="Heading2"/>
        <w:rPr>
          <w:rFonts w:ascii="Times New Roman" w:hAnsi="Times New Roman" w:cs="Times New Roman"/>
        </w:rPr>
      </w:pPr>
      <w:r>
        <w:t>TAX-EFFICIENT INVESTMENTS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4"/>
        <w:gridCol w:w="1702"/>
        <w:gridCol w:w="1656"/>
      </w:tblGrid>
      <w:tr w:rsidR="00ED7E83" w14:paraId="3D6ACF60" w14:textId="77777777" w:rsidTr="00620410">
        <w:tc>
          <w:tcPr>
            <w:tcW w:w="3183" w:type="pct"/>
            <w:shd w:val="clear" w:color="auto" w:fill="D9D9D9"/>
          </w:tcPr>
          <w:p w14:paraId="79A4D3E1" w14:textId="77777777" w:rsidR="00ED7E83" w:rsidRDefault="00ED7E83" w:rsidP="00ED7E83">
            <w:pPr>
              <w:spacing w:after="0" w:line="240" w:lineRule="auto"/>
              <w:rPr>
                <w:b/>
                <w:bCs/>
              </w:rPr>
            </w:pPr>
            <w:r>
              <w:rPr>
                <w:b/>
                <w:bCs/>
              </w:rPr>
              <w:t>Annual investment limit</w:t>
            </w:r>
          </w:p>
        </w:tc>
        <w:tc>
          <w:tcPr>
            <w:tcW w:w="921" w:type="pct"/>
            <w:shd w:val="clear" w:color="auto" w:fill="D9D9D9"/>
          </w:tcPr>
          <w:p w14:paraId="43614B62" w14:textId="77777777" w:rsidR="00ED7E83" w:rsidRDefault="005707CD" w:rsidP="005707CD">
            <w:pPr>
              <w:spacing w:after="0" w:line="240" w:lineRule="auto"/>
              <w:rPr>
                <w:b/>
                <w:bCs/>
              </w:rPr>
            </w:pPr>
            <w:r>
              <w:rPr>
                <w:b/>
                <w:bCs/>
              </w:rPr>
              <w:t>2019</w:t>
            </w:r>
            <w:r w:rsidR="00ED7E83">
              <w:rPr>
                <w:b/>
                <w:bCs/>
              </w:rPr>
              <w:t>/</w:t>
            </w:r>
            <w:r>
              <w:rPr>
                <w:b/>
                <w:bCs/>
              </w:rPr>
              <w:t>20</w:t>
            </w:r>
          </w:p>
        </w:tc>
        <w:tc>
          <w:tcPr>
            <w:tcW w:w="896" w:type="pct"/>
            <w:shd w:val="clear" w:color="auto" w:fill="D9D9D9"/>
          </w:tcPr>
          <w:p w14:paraId="0695D721" w14:textId="77777777" w:rsidR="00ED7E83" w:rsidRDefault="005707CD" w:rsidP="00ED7E83">
            <w:pPr>
              <w:spacing w:after="0" w:line="240" w:lineRule="auto"/>
              <w:rPr>
                <w:b/>
                <w:bCs/>
              </w:rPr>
            </w:pPr>
            <w:r>
              <w:rPr>
                <w:b/>
                <w:bCs/>
              </w:rPr>
              <w:t>2018/19</w:t>
            </w:r>
          </w:p>
        </w:tc>
      </w:tr>
      <w:tr w:rsidR="00ED7E83" w14:paraId="5152BB48" w14:textId="77777777" w:rsidTr="00620410">
        <w:trPr>
          <w:cantSplit/>
        </w:trPr>
        <w:tc>
          <w:tcPr>
            <w:tcW w:w="3183" w:type="pct"/>
          </w:tcPr>
          <w:p w14:paraId="45A26D2B" w14:textId="77777777" w:rsidR="00ED7E83" w:rsidRDefault="00ED7E83" w:rsidP="00ED7E83">
            <w:pPr>
              <w:spacing w:after="0" w:line="240" w:lineRule="auto"/>
            </w:pPr>
            <w:r>
              <w:t>ISA</w:t>
            </w:r>
          </w:p>
        </w:tc>
        <w:tc>
          <w:tcPr>
            <w:tcW w:w="921" w:type="pct"/>
          </w:tcPr>
          <w:p w14:paraId="0342D58E" w14:textId="041DE026" w:rsidR="00ED7E83" w:rsidRPr="002E2CD1" w:rsidRDefault="005707CD" w:rsidP="00ED7E83">
            <w:pPr>
              <w:spacing w:after="0" w:line="240" w:lineRule="auto"/>
              <w:rPr>
                <w:rFonts w:asciiTheme="minorHAnsi" w:hAnsiTheme="minorHAnsi" w:cstheme="minorHAnsi"/>
              </w:rPr>
            </w:pPr>
            <w:r>
              <w:rPr>
                <w:rFonts w:asciiTheme="minorHAnsi" w:hAnsiTheme="minorHAnsi" w:cstheme="minorHAnsi"/>
              </w:rPr>
              <w:t>£</w:t>
            </w:r>
            <w:r w:rsidR="00BF7040">
              <w:rPr>
                <w:rFonts w:asciiTheme="minorHAnsi" w:hAnsiTheme="minorHAnsi" w:cstheme="minorHAnsi"/>
              </w:rPr>
              <w:t>20,000</w:t>
            </w:r>
          </w:p>
        </w:tc>
        <w:tc>
          <w:tcPr>
            <w:tcW w:w="896" w:type="pct"/>
          </w:tcPr>
          <w:p w14:paraId="36074E47" w14:textId="77777777" w:rsidR="00ED7E83" w:rsidRDefault="00ED7E83" w:rsidP="00ED7E83">
            <w:pPr>
              <w:spacing w:after="0" w:line="240" w:lineRule="auto"/>
            </w:pPr>
            <w:r>
              <w:t>£20,000</w:t>
            </w:r>
          </w:p>
        </w:tc>
      </w:tr>
      <w:tr w:rsidR="00ED7E83" w14:paraId="57AEE727" w14:textId="77777777" w:rsidTr="00620410">
        <w:tc>
          <w:tcPr>
            <w:tcW w:w="3183" w:type="pct"/>
          </w:tcPr>
          <w:p w14:paraId="6DE7A08E" w14:textId="2EF0F05D" w:rsidR="00ED7E83" w:rsidRDefault="00ED7E83" w:rsidP="00ED7E83">
            <w:pPr>
              <w:spacing w:after="0" w:line="240" w:lineRule="auto"/>
            </w:pPr>
            <w:r>
              <w:t>Lifetime ISA</w:t>
            </w:r>
            <w:r w:rsidR="00E65636">
              <w:t>*</w:t>
            </w:r>
          </w:p>
        </w:tc>
        <w:tc>
          <w:tcPr>
            <w:tcW w:w="921" w:type="pct"/>
          </w:tcPr>
          <w:p w14:paraId="6A075AE6" w14:textId="50B7ED87" w:rsidR="00ED7E83" w:rsidRDefault="005707CD" w:rsidP="00ED7E83">
            <w:pPr>
              <w:spacing w:after="0" w:line="240" w:lineRule="auto"/>
            </w:pPr>
            <w:r>
              <w:t>£</w:t>
            </w:r>
            <w:r w:rsidR="00BF7040">
              <w:t>4,000</w:t>
            </w:r>
          </w:p>
        </w:tc>
        <w:tc>
          <w:tcPr>
            <w:tcW w:w="896" w:type="pct"/>
          </w:tcPr>
          <w:p w14:paraId="37371860" w14:textId="77777777" w:rsidR="00ED7E83" w:rsidRDefault="00ED7E83" w:rsidP="00ED7E83">
            <w:pPr>
              <w:spacing w:after="0" w:line="240" w:lineRule="auto"/>
            </w:pPr>
            <w:r>
              <w:t>£4,000</w:t>
            </w:r>
          </w:p>
        </w:tc>
      </w:tr>
      <w:tr w:rsidR="00ED7E83" w14:paraId="2DA7467A" w14:textId="77777777" w:rsidTr="00620410">
        <w:tc>
          <w:tcPr>
            <w:tcW w:w="3183" w:type="pct"/>
          </w:tcPr>
          <w:p w14:paraId="6BE6998F" w14:textId="3E214753" w:rsidR="00ED7E83" w:rsidRDefault="00620410" w:rsidP="00620410">
            <w:pPr>
              <w:spacing w:after="0" w:line="240" w:lineRule="auto"/>
            </w:pPr>
            <w:r>
              <w:t>Help-to-b</w:t>
            </w:r>
            <w:r w:rsidR="00ED7E83">
              <w:t>uy ISA</w:t>
            </w:r>
            <w:r w:rsidR="00D77059">
              <w:t xml:space="preserve"> (existing savers only from 1</w:t>
            </w:r>
            <w:r>
              <w:t xml:space="preserve"> December </w:t>
            </w:r>
            <w:r w:rsidR="00B50E9E">
              <w:t>20</w:t>
            </w:r>
            <w:r w:rsidR="00D77059">
              <w:t>19)</w:t>
            </w:r>
          </w:p>
        </w:tc>
        <w:tc>
          <w:tcPr>
            <w:tcW w:w="1817" w:type="pct"/>
            <w:gridSpan w:val="2"/>
          </w:tcPr>
          <w:p w14:paraId="089DED5A" w14:textId="179BB5AE" w:rsidR="00ED7E83" w:rsidRDefault="00ED7E83" w:rsidP="00ED7E83">
            <w:pPr>
              <w:spacing w:after="0" w:line="240" w:lineRule="auto"/>
            </w:pPr>
            <w:r>
              <w:t>£1,000 initial and £200 per month</w:t>
            </w:r>
          </w:p>
        </w:tc>
      </w:tr>
      <w:tr w:rsidR="00ED7E83" w14:paraId="21397657" w14:textId="77777777" w:rsidTr="00620410">
        <w:tc>
          <w:tcPr>
            <w:tcW w:w="3183" w:type="pct"/>
          </w:tcPr>
          <w:p w14:paraId="05477351" w14:textId="1DBA0C4D" w:rsidR="00ED7E83" w:rsidRDefault="00ED7E83" w:rsidP="00620410">
            <w:pPr>
              <w:spacing w:after="0" w:line="240" w:lineRule="auto"/>
            </w:pPr>
            <w:r>
              <w:t>Junior ISA and Child Trust Fund</w:t>
            </w:r>
          </w:p>
        </w:tc>
        <w:tc>
          <w:tcPr>
            <w:tcW w:w="921" w:type="pct"/>
          </w:tcPr>
          <w:p w14:paraId="211F985C" w14:textId="3B2040EA" w:rsidR="00ED7E83" w:rsidRDefault="005707CD" w:rsidP="00ED7E83">
            <w:pPr>
              <w:spacing w:after="0" w:line="240" w:lineRule="auto"/>
            </w:pPr>
            <w:r>
              <w:t>£</w:t>
            </w:r>
            <w:r w:rsidR="00BF7040">
              <w:t>4,368</w:t>
            </w:r>
          </w:p>
        </w:tc>
        <w:tc>
          <w:tcPr>
            <w:tcW w:w="896" w:type="pct"/>
          </w:tcPr>
          <w:p w14:paraId="5424C229" w14:textId="77777777" w:rsidR="00ED7E83" w:rsidRDefault="005707CD" w:rsidP="00ED7E83">
            <w:pPr>
              <w:spacing w:after="0" w:line="240" w:lineRule="auto"/>
            </w:pPr>
            <w:r>
              <w:t>£4,260</w:t>
            </w:r>
          </w:p>
        </w:tc>
      </w:tr>
      <w:tr w:rsidR="00ED7E83" w14:paraId="21389860" w14:textId="77777777" w:rsidTr="00620410">
        <w:tc>
          <w:tcPr>
            <w:tcW w:w="3183" w:type="pct"/>
          </w:tcPr>
          <w:p w14:paraId="347D9A1C" w14:textId="77777777" w:rsidR="00ED7E83" w:rsidRDefault="00ED7E83" w:rsidP="00ED7E83">
            <w:pPr>
              <w:spacing w:after="0" w:line="240" w:lineRule="auto"/>
            </w:pPr>
            <w:r>
              <w:t>Venture Capital Trust at 30%</w:t>
            </w:r>
          </w:p>
        </w:tc>
        <w:tc>
          <w:tcPr>
            <w:tcW w:w="921" w:type="pct"/>
          </w:tcPr>
          <w:p w14:paraId="518DE7FB" w14:textId="5F6727EC" w:rsidR="00ED7E83" w:rsidRDefault="005707CD" w:rsidP="00ED7E83">
            <w:pPr>
              <w:spacing w:after="0" w:line="240" w:lineRule="auto"/>
            </w:pPr>
            <w:r>
              <w:t>£</w:t>
            </w:r>
            <w:r w:rsidR="00BF7040">
              <w:t>200,000</w:t>
            </w:r>
          </w:p>
        </w:tc>
        <w:tc>
          <w:tcPr>
            <w:tcW w:w="896" w:type="pct"/>
          </w:tcPr>
          <w:p w14:paraId="4C0970C8" w14:textId="77777777" w:rsidR="00ED7E83" w:rsidRDefault="00ED7E83" w:rsidP="00ED7E83">
            <w:pPr>
              <w:spacing w:after="0" w:line="240" w:lineRule="auto"/>
            </w:pPr>
            <w:r>
              <w:t>£200,000</w:t>
            </w:r>
          </w:p>
        </w:tc>
      </w:tr>
      <w:tr w:rsidR="00ED7E83" w14:paraId="02CD9922" w14:textId="77777777" w:rsidTr="00620410">
        <w:tc>
          <w:tcPr>
            <w:tcW w:w="3183" w:type="pct"/>
          </w:tcPr>
          <w:p w14:paraId="133A6E0C" w14:textId="0576B4F3" w:rsidR="00ED7E83" w:rsidRDefault="00ED7E83" w:rsidP="00620410">
            <w:pPr>
              <w:spacing w:after="0" w:line="240" w:lineRule="auto"/>
            </w:pPr>
            <w:r>
              <w:t>Enterprise Investment Scheme at 30%</w:t>
            </w:r>
            <w:r w:rsidR="00E65636">
              <w:t>**</w:t>
            </w:r>
          </w:p>
        </w:tc>
        <w:tc>
          <w:tcPr>
            <w:tcW w:w="921" w:type="pct"/>
          </w:tcPr>
          <w:p w14:paraId="439C8DAA" w14:textId="34A5FC9D" w:rsidR="00ED7E83" w:rsidRDefault="005707CD" w:rsidP="00ED7E83">
            <w:pPr>
              <w:spacing w:after="0" w:line="240" w:lineRule="auto"/>
            </w:pPr>
            <w:r>
              <w:t>£</w:t>
            </w:r>
            <w:r w:rsidR="00BF7040">
              <w:t>1m</w:t>
            </w:r>
          </w:p>
        </w:tc>
        <w:tc>
          <w:tcPr>
            <w:tcW w:w="896" w:type="pct"/>
          </w:tcPr>
          <w:p w14:paraId="67F37B49" w14:textId="142C0468" w:rsidR="00ED7E83" w:rsidRDefault="00ED7E83" w:rsidP="00ED7E83">
            <w:pPr>
              <w:spacing w:after="0" w:line="240" w:lineRule="auto"/>
            </w:pPr>
            <w:r>
              <w:t>£1m</w:t>
            </w:r>
          </w:p>
        </w:tc>
      </w:tr>
      <w:tr w:rsidR="00ED7E83" w14:paraId="0D3F9390" w14:textId="77777777" w:rsidTr="00620410">
        <w:tc>
          <w:tcPr>
            <w:tcW w:w="3183" w:type="pct"/>
          </w:tcPr>
          <w:p w14:paraId="24785943" w14:textId="77777777" w:rsidR="00ED7E83" w:rsidRDefault="00ED7E83" w:rsidP="00ED7E83">
            <w:pPr>
              <w:spacing w:after="0" w:line="240" w:lineRule="auto"/>
            </w:pPr>
            <w:r>
              <w:t xml:space="preserve">Seed EIS (SEIS) at 50% </w:t>
            </w:r>
          </w:p>
        </w:tc>
        <w:tc>
          <w:tcPr>
            <w:tcW w:w="921" w:type="pct"/>
          </w:tcPr>
          <w:p w14:paraId="380523C1" w14:textId="50A44484" w:rsidR="00ED7E83" w:rsidRDefault="005707CD" w:rsidP="00ED7E83">
            <w:pPr>
              <w:spacing w:after="0" w:line="240" w:lineRule="auto"/>
            </w:pPr>
            <w:r>
              <w:t>£</w:t>
            </w:r>
            <w:r w:rsidR="00BF7040">
              <w:t>100,000</w:t>
            </w:r>
          </w:p>
        </w:tc>
        <w:tc>
          <w:tcPr>
            <w:tcW w:w="896" w:type="pct"/>
          </w:tcPr>
          <w:p w14:paraId="38396760" w14:textId="77777777" w:rsidR="00ED7E83" w:rsidRDefault="00ED7E83" w:rsidP="00ED7E83">
            <w:pPr>
              <w:spacing w:after="0" w:line="240" w:lineRule="auto"/>
            </w:pPr>
            <w:r>
              <w:t>£100,000</w:t>
            </w:r>
          </w:p>
        </w:tc>
      </w:tr>
      <w:tr w:rsidR="00ED7E83" w14:paraId="11248DD8" w14:textId="77777777" w:rsidTr="00620410">
        <w:tc>
          <w:tcPr>
            <w:tcW w:w="3183" w:type="pct"/>
          </w:tcPr>
          <w:p w14:paraId="5B0CABF1" w14:textId="77777777" w:rsidR="00ED7E83" w:rsidRDefault="00ED7E83" w:rsidP="00ED7E83">
            <w:pPr>
              <w:spacing w:after="0" w:line="240" w:lineRule="auto"/>
            </w:pPr>
            <w:r>
              <w:t>SEIS capital gains tax reinvestment relief</w:t>
            </w:r>
          </w:p>
        </w:tc>
        <w:tc>
          <w:tcPr>
            <w:tcW w:w="921" w:type="pct"/>
          </w:tcPr>
          <w:p w14:paraId="102D11F9" w14:textId="77777777" w:rsidR="00ED7E83" w:rsidRDefault="00ED7E83" w:rsidP="00ED7E83">
            <w:pPr>
              <w:spacing w:after="0" w:line="240" w:lineRule="auto"/>
            </w:pPr>
            <w:r>
              <w:t>50%</w:t>
            </w:r>
          </w:p>
        </w:tc>
        <w:tc>
          <w:tcPr>
            <w:tcW w:w="896" w:type="pct"/>
          </w:tcPr>
          <w:p w14:paraId="2C1733A2" w14:textId="77777777" w:rsidR="00ED7E83" w:rsidRDefault="00ED7E83" w:rsidP="00ED7E83">
            <w:pPr>
              <w:spacing w:after="0" w:line="240" w:lineRule="auto"/>
            </w:pPr>
            <w:r>
              <w:t>50%</w:t>
            </w:r>
          </w:p>
        </w:tc>
      </w:tr>
      <w:tr w:rsidR="00ED7E83" w14:paraId="56972EE6" w14:textId="77777777" w:rsidTr="00620410">
        <w:tc>
          <w:tcPr>
            <w:tcW w:w="3183" w:type="pct"/>
          </w:tcPr>
          <w:p w14:paraId="42624F97" w14:textId="77777777" w:rsidR="00ED7E83" w:rsidRDefault="00ED7E83" w:rsidP="00ED7E83">
            <w:pPr>
              <w:spacing w:after="0" w:line="240" w:lineRule="auto"/>
            </w:pPr>
            <w:r>
              <w:t>Social investment tax relief at 30%</w:t>
            </w:r>
          </w:p>
        </w:tc>
        <w:tc>
          <w:tcPr>
            <w:tcW w:w="921" w:type="pct"/>
          </w:tcPr>
          <w:p w14:paraId="50942F91" w14:textId="48E561EE" w:rsidR="00ED7E83" w:rsidRDefault="005707CD" w:rsidP="00ED7E83">
            <w:pPr>
              <w:spacing w:after="0" w:line="240" w:lineRule="auto"/>
            </w:pPr>
            <w:r>
              <w:t>£</w:t>
            </w:r>
            <w:r w:rsidR="00BF7040">
              <w:t>1m</w:t>
            </w:r>
          </w:p>
        </w:tc>
        <w:tc>
          <w:tcPr>
            <w:tcW w:w="896" w:type="pct"/>
          </w:tcPr>
          <w:p w14:paraId="5FF1B41A" w14:textId="77777777" w:rsidR="00ED7E83" w:rsidRDefault="00ED7E83" w:rsidP="00ED7E83">
            <w:pPr>
              <w:spacing w:after="0" w:line="240" w:lineRule="auto"/>
            </w:pPr>
            <w:r>
              <w:t>£1m</w:t>
            </w:r>
          </w:p>
        </w:tc>
      </w:tr>
    </w:tbl>
    <w:p w14:paraId="5E02704C" w14:textId="44DCE7E3" w:rsidR="00E65636" w:rsidRPr="00C01992" w:rsidRDefault="00E65636" w:rsidP="00E65636">
      <w:pPr>
        <w:rPr>
          <w:rFonts w:asciiTheme="minorHAnsi" w:hAnsiTheme="minorHAnsi" w:cstheme="minorHAnsi"/>
        </w:rPr>
      </w:pPr>
      <w:r>
        <w:rPr>
          <w:rFonts w:asciiTheme="minorHAnsi" w:hAnsiTheme="minorHAnsi" w:cstheme="minorHAnsi"/>
        </w:rPr>
        <w:t>* Reduces ISA limit by amount invested in Lifetime ISA.</w:t>
      </w:r>
    </w:p>
    <w:p w14:paraId="00EF0526" w14:textId="728885D3" w:rsidR="00ED7E83" w:rsidRPr="002E2CD1" w:rsidRDefault="00E65636" w:rsidP="00ED7E83">
      <w:pPr>
        <w:rPr>
          <w:rFonts w:asciiTheme="minorHAnsi" w:hAnsiTheme="minorHAnsi" w:cstheme="minorHAnsi"/>
        </w:rPr>
      </w:pPr>
      <w:r>
        <w:rPr>
          <w:rFonts w:asciiTheme="minorHAnsi" w:hAnsiTheme="minorHAnsi" w:cstheme="minorHAnsi"/>
        </w:rPr>
        <w:t>*</w:t>
      </w:r>
      <w:r w:rsidR="00ED7E83" w:rsidRPr="002E2CD1">
        <w:rPr>
          <w:rFonts w:asciiTheme="minorHAnsi" w:hAnsiTheme="minorHAnsi" w:cstheme="minorHAnsi"/>
        </w:rPr>
        <w:t>*</w:t>
      </w:r>
      <w:r w:rsidR="00D74536">
        <w:rPr>
          <w:rFonts w:asciiTheme="minorHAnsi" w:hAnsiTheme="minorHAnsi" w:cstheme="minorHAnsi"/>
        </w:rPr>
        <w:t xml:space="preserve"> </w:t>
      </w:r>
      <w:r>
        <w:rPr>
          <w:rFonts w:asciiTheme="minorHAnsi" w:hAnsiTheme="minorHAnsi" w:cstheme="minorHAnsi"/>
        </w:rPr>
        <w:t>Up to</w:t>
      </w:r>
      <w:r w:rsidR="00ED7E83" w:rsidRPr="002E2CD1">
        <w:rPr>
          <w:rFonts w:asciiTheme="minorHAnsi" w:hAnsiTheme="minorHAnsi" w:cstheme="minorHAnsi"/>
        </w:rPr>
        <w:t xml:space="preserve"> £</w:t>
      </w:r>
      <w:r>
        <w:rPr>
          <w:rFonts w:asciiTheme="minorHAnsi" w:hAnsiTheme="minorHAnsi" w:cstheme="minorHAnsi"/>
        </w:rPr>
        <w:t>2</w:t>
      </w:r>
      <w:r w:rsidR="00ED7E83" w:rsidRPr="002E2CD1">
        <w:rPr>
          <w:rFonts w:asciiTheme="minorHAnsi" w:hAnsiTheme="minorHAnsi" w:cstheme="minorHAnsi"/>
        </w:rPr>
        <w:t>m in a knowledge</w:t>
      </w:r>
      <w:r w:rsidR="00ED7E83">
        <w:rPr>
          <w:rFonts w:asciiTheme="minorHAnsi" w:hAnsiTheme="minorHAnsi" w:cstheme="minorHAnsi"/>
        </w:rPr>
        <w:t>-</w:t>
      </w:r>
      <w:r w:rsidR="00ED7E83" w:rsidRPr="002E2CD1">
        <w:rPr>
          <w:rFonts w:asciiTheme="minorHAnsi" w:hAnsiTheme="minorHAnsi" w:cstheme="minorHAnsi"/>
        </w:rPr>
        <w:t>intensive company.</w:t>
      </w:r>
    </w:p>
    <w:p w14:paraId="6CA5433E" w14:textId="77777777" w:rsidR="00ED7E83" w:rsidRDefault="00ED7E83" w:rsidP="000D2F33">
      <w:pPr>
        <w:pStyle w:val="Heading2"/>
        <w:rPr>
          <w:rFonts w:ascii="Times New Roman" w:hAnsi="Times New Roman" w:cs="Times New Roman"/>
        </w:rPr>
      </w:pPr>
      <w:r>
        <w:t>REGISTERED PENSIONS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3"/>
        <w:gridCol w:w="4349"/>
      </w:tblGrid>
      <w:tr w:rsidR="00ED7E83" w14:paraId="61774A0A" w14:textId="77777777" w:rsidTr="0087738D">
        <w:tc>
          <w:tcPr>
            <w:tcW w:w="2647" w:type="pct"/>
          </w:tcPr>
          <w:p w14:paraId="1B118375" w14:textId="77777777" w:rsidR="00ED7E83" w:rsidRDefault="00ED7E83" w:rsidP="00ED7E83">
            <w:pPr>
              <w:spacing w:after="0" w:line="240" w:lineRule="auto"/>
            </w:pPr>
            <w:r>
              <w:t>Lifetime allowance limit</w:t>
            </w:r>
          </w:p>
        </w:tc>
        <w:tc>
          <w:tcPr>
            <w:tcW w:w="2353" w:type="pct"/>
          </w:tcPr>
          <w:p w14:paraId="09ECEE1B" w14:textId="243FCA8D" w:rsidR="00ED7E83" w:rsidRDefault="00BF7040" w:rsidP="00ED7E83">
            <w:pPr>
              <w:spacing w:after="0" w:line="240" w:lineRule="auto"/>
            </w:pPr>
            <w:r>
              <w:t>£1.055</w:t>
            </w:r>
            <w:r w:rsidR="00ED7E83">
              <w:t>m</w:t>
            </w:r>
          </w:p>
        </w:tc>
      </w:tr>
      <w:tr w:rsidR="00ED7E83" w14:paraId="47E01631" w14:textId="77777777" w:rsidTr="0087738D">
        <w:tc>
          <w:tcPr>
            <w:tcW w:w="2647" w:type="pct"/>
          </w:tcPr>
          <w:p w14:paraId="38603F5E" w14:textId="77777777" w:rsidR="00ED7E83" w:rsidRDefault="00ED7E83" w:rsidP="00ED7E83">
            <w:pPr>
              <w:spacing w:after="0" w:line="240" w:lineRule="auto"/>
            </w:pPr>
            <w:r>
              <w:t>Money purchase annual allowance</w:t>
            </w:r>
          </w:p>
        </w:tc>
        <w:tc>
          <w:tcPr>
            <w:tcW w:w="2353" w:type="pct"/>
          </w:tcPr>
          <w:p w14:paraId="5F6BDBE7" w14:textId="77777777" w:rsidR="00ED7E83" w:rsidRDefault="00ED7E83" w:rsidP="00ED7E83">
            <w:pPr>
              <w:spacing w:after="0" w:line="240" w:lineRule="auto"/>
            </w:pPr>
            <w:r>
              <w:t xml:space="preserve">£4,000 </w:t>
            </w:r>
          </w:p>
        </w:tc>
      </w:tr>
      <w:tr w:rsidR="00ED7E83" w14:paraId="1423773D" w14:textId="77777777" w:rsidTr="0087738D">
        <w:tc>
          <w:tcPr>
            <w:tcW w:w="2647" w:type="pct"/>
          </w:tcPr>
          <w:p w14:paraId="7AC03781" w14:textId="77777777" w:rsidR="00ED7E83" w:rsidRDefault="00ED7E83" w:rsidP="00ED7E83">
            <w:pPr>
              <w:spacing w:after="0" w:line="240" w:lineRule="auto"/>
            </w:pPr>
            <w:r>
              <w:t>Annual allowance limit</w:t>
            </w:r>
          </w:p>
        </w:tc>
        <w:tc>
          <w:tcPr>
            <w:tcW w:w="2353" w:type="pct"/>
          </w:tcPr>
          <w:p w14:paraId="3B1E4AAC" w14:textId="77777777" w:rsidR="00ED7E83" w:rsidRDefault="00ED7E83" w:rsidP="00ED7E83">
            <w:pPr>
              <w:spacing w:after="0" w:line="240" w:lineRule="auto"/>
            </w:pPr>
            <w:r>
              <w:t>£40,000*</w:t>
            </w:r>
          </w:p>
        </w:tc>
      </w:tr>
      <w:tr w:rsidR="00ED7E83" w14:paraId="5EFA4136" w14:textId="77777777" w:rsidTr="0087738D">
        <w:tc>
          <w:tcPr>
            <w:tcW w:w="2647" w:type="pct"/>
          </w:tcPr>
          <w:p w14:paraId="2FA20EF7" w14:textId="77777777" w:rsidR="00ED7E83" w:rsidRDefault="00ED7E83" w:rsidP="00ED7E83">
            <w:pPr>
              <w:spacing w:after="0" w:line="240" w:lineRule="auto"/>
            </w:pPr>
            <w:r>
              <w:t>Minimum age for accessing benefits</w:t>
            </w:r>
          </w:p>
        </w:tc>
        <w:tc>
          <w:tcPr>
            <w:tcW w:w="2353" w:type="pct"/>
          </w:tcPr>
          <w:p w14:paraId="7724EF38" w14:textId="77777777" w:rsidR="00ED7E83" w:rsidRDefault="00ED7E83" w:rsidP="00ED7E83">
            <w:pPr>
              <w:spacing w:after="0" w:line="240" w:lineRule="auto"/>
            </w:pPr>
            <w:r>
              <w:t>55</w:t>
            </w:r>
          </w:p>
        </w:tc>
      </w:tr>
      <w:tr w:rsidR="00AE165E" w14:paraId="2E4E1B7E" w14:textId="77777777" w:rsidTr="0087738D">
        <w:tc>
          <w:tcPr>
            <w:tcW w:w="2647" w:type="pct"/>
          </w:tcPr>
          <w:p w14:paraId="41A496D9" w14:textId="77777777" w:rsidR="00AE165E" w:rsidRDefault="00AE165E" w:rsidP="00ED7E83">
            <w:pPr>
              <w:spacing w:after="0" w:line="240" w:lineRule="auto"/>
            </w:pPr>
            <w:r>
              <w:t>On cumulative benefits exceeding</w:t>
            </w:r>
          </w:p>
        </w:tc>
        <w:tc>
          <w:tcPr>
            <w:tcW w:w="2353" w:type="pct"/>
          </w:tcPr>
          <w:p w14:paraId="623BE1B1" w14:textId="41BC5035" w:rsidR="00AE165E" w:rsidRDefault="00AE165E" w:rsidP="00ED7E83">
            <w:pPr>
              <w:spacing w:after="0" w:line="240" w:lineRule="auto"/>
            </w:pPr>
            <w:r>
              <w:t>£</w:t>
            </w:r>
            <w:r w:rsidR="00BF7040">
              <w:t>1.055</w:t>
            </w:r>
            <w:r>
              <w:t>m</w:t>
            </w:r>
          </w:p>
        </w:tc>
      </w:tr>
      <w:tr w:rsidR="00B2637A" w14:paraId="122761EA" w14:textId="77777777" w:rsidTr="0087738D">
        <w:tc>
          <w:tcPr>
            <w:tcW w:w="2647" w:type="pct"/>
          </w:tcPr>
          <w:p w14:paraId="6FE6B716" w14:textId="0BE41BCA" w:rsidR="00B2637A" w:rsidRDefault="00B2637A" w:rsidP="00ED7E83">
            <w:pPr>
              <w:spacing w:after="0" w:line="240" w:lineRule="auto"/>
            </w:pPr>
            <w:r>
              <w:t>Maximum pension commencement lump sum</w:t>
            </w:r>
          </w:p>
        </w:tc>
        <w:tc>
          <w:tcPr>
            <w:tcW w:w="2353" w:type="pct"/>
          </w:tcPr>
          <w:p w14:paraId="010AB0A5" w14:textId="3CBAAF01" w:rsidR="00B2637A" w:rsidRDefault="00B2637A" w:rsidP="00ED7E83">
            <w:pPr>
              <w:spacing w:after="0" w:line="240" w:lineRule="auto"/>
            </w:pPr>
            <w:r>
              <w:t>25% of pension fund value</w:t>
            </w:r>
          </w:p>
        </w:tc>
      </w:tr>
    </w:tbl>
    <w:p w14:paraId="36F0065C" w14:textId="28471A49" w:rsidR="00AE27AB" w:rsidRPr="00AE27AB" w:rsidRDefault="00AE27AB" w:rsidP="00ED7E83">
      <w:bookmarkStart w:id="1" w:name="_GoBack"/>
      <w:bookmarkEnd w:id="1"/>
      <w:r>
        <w:rPr>
          <w:rFonts w:ascii="Arial" w:hAnsi="Arial" w:cs="Arial"/>
          <w:color w:val="222222"/>
          <w:shd w:val="clear" w:color="auto" w:fill="FFFFFF"/>
        </w:rPr>
        <w:t xml:space="preserve">* </w:t>
      </w:r>
      <w:r w:rsidRPr="00AE27AB">
        <w:t>Tax relief is restricted to the higher of £3,600 and net relevant earnings subject to the annual allowance which is reduced by £1 for every £2 of income to a level of £10,000 where adjusted income is over £150,000 and threshold income is over £110,000.</w:t>
      </w:r>
    </w:p>
    <w:p w14:paraId="2D3C818F" w14:textId="5464FF22" w:rsidR="000D2F33" w:rsidRPr="004B1766" w:rsidRDefault="00ED7E83" w:rsidP="004B1766">
      <w:pPr>
        <w:rPr>
          <w:rFonts w:ascii="Times New Roman" w:hAnsi="Times New Roman" w:cs="Times New Roman"/>
        </w:rPr>
      </w:pPr>
      <w:r w:rsidRPr="00797409">
        <w:rPr>
          <w:rFonts w:eastAsia="MS ????"/>
        </w:rPr>
        <w:t xml:space="preserve">Subject to certain conditions, the unused amount of the annual allowance can be carried forward up to </w:t>
      </w:r>
      <w:r w:rsidR="000D2F33">
        <w:rPr>
          <w:rFonts w:eastAsia="MS ????"/>
        </w:rPr>
        <w:t>three</w:t>
      </w:r>
      <w:r w:rsidRPr="00797409">
        <w:rPr>
          <w:rFonts w:eastAsia="MS ????"/>
        </w:rPr>
        <w:t xml:space="preserve"> years and used once the current year annual allowance has been fully utilised. </w:t>
      </w:r>
    </w:p>
    <w:p w14:paraId="309508D8" w14:textId="77777777" w:rsidR="002E2CD1" w:rsidRDefault="002E2CD1" w:rsidP="000D2F33">
      <w:pPr>
        <w:pStyle w:val="Heading2"/>
      </w:pPr>
      <w:r>
        <w:t>NATIONAL INSURANCE</w:t>
      </w:r>
    </w:p>
    <w:tbl>
      <w:tblPr>
        <w:tblStyle w:val="TableGrid"/>
        <w:tblW w:w="0" w:type="auto"/>
        <w:tblLook w:val="04A0" w:firstRow="1" w:lastRow="0" w:firstColumn="1" w:lastColumn="0" w:noHBand="0" w:noVBand="1"/>
      </w:tblPr>
      <w:tblGrid>
        <w:gridCol w:w="2376"/>
        <w:gridCol w:w="1701"/>
        <w:gridCol w:w="2127"/>
      </w:tblGrid>
      <w:tr w:rsidR="00620410" w:rsidRPr="00620410" w14:paraId="1021ADC7" w14:textId="77777777" w:rsidTr="00B24E85">
        <w:tc>
          <w:tcPr>
            <w:tcW w:w="6204" w:type="dxa"/>
            <w:gridSpan w:val="3"/>
            <w:shd w:val="clear" w:color="auto" w:fill="D9D9D9" w:themeFill="background1" w:themeFillShade="D9"/>
          </w:tcPr>
          <w:p w14:paraId="4E04258F" w14:textId="49F0326C" w:rsidR="00620410" w:rsidRPr="00620410" w:rsidRDefault="00620410" w:rsidP="00620410">
            <w:pPr>
              <w:jc w:val="center"/>
              <w:rPr>
                <w:b/>
              </w:rPr>
            </w:pPr>
            <w:r w:rsidRPr="00620410">
              <w:rPr>
                <w:b/>
              </w:rPr>
              <w:t>Class 1</w:t>
            </w:r>
          </w:p>
        </w:tc>
      </w:tr>
      <w:tr w:rsidR="00FC44AB" w:rsidRPr="00620410" w14:paraId="60DBF4C4" w14:textId="77777777" w:rsidTr="00FC44AB">
        <w:tc>
          <w:tcPr>
            <w:tcW w:w="2376" w:type="dxa"/>
            <w:shd w:val="clear" w:color="auto" w:fill="D9D9D9" w:themeFill="background1" w:themeFillShade="D9"/>
          </w:tcPr>
          <w:p w14:paraId="493207F9" w14:textId="04875B27" w:rsidR="00FC44AB" w:rsidRPr="00620410" w:rsidRDefault="00FC44AB" w:rsidP="00B24E85">
            <w:pPr>
              <w:rPr>
                <w:b/>
              </w:rPr>
            </w:pPr>
            <w:r w:rsidRPr="00FC44AB">
              <w:rPr>
                <w:b/>
              </w:rPr>
              <w:t>Weekly earnings</w:t>
            </w:r>
          </w:p>
        </w:tc>
        <w:tc>
          <w:tcPr>
            <w:tcW w:w="1701" w:type="dxa"/>
            <w:shd w:val="clear" w:color="auto" w:fill="D9D9D9" w:themeFill="background1" w:themeFillShade="D9"/>
          </w:tcPr>
          <w:p w14:paraId="6402F78C" w14:textId="57C08956" w:rsidR="00FC44AB" w:rsidRPr="00620410" w:rsidRDefault="00FC44AB" w:rsidP="00B24E85">
            <w:pPr>
              <w:rPr>
                <w:b/>
              </w:rPr>
            </w:pPr>
            <w:r w:rsidRPr="00620410">
              <w:rPr>
                <w:b/>
              </w:rPr>
              <w:t>Employee</w:t>
            </w:r>
            <w:r>
              <w:rPr>
                <w:b/>
              </w:rPr>
              <w:t xml:space="preserve"> rate</w:t>
            </w:r>
          </w:p>
        </w:tc>
        <w:tc>
          <w:tcPr>
            <w:tcW w:w="2127" w:type="dxa"/>
            <w:shd w:val="clear" w:color="auto" w:fill="D9D9D9" w:themeFill="background1" w:themeFillShade="D9"/>
          </w:tcPr>
          <w:p w14:paraId="7D19C65E" w14:textId="10617B7E" w:rsidR="00FC44AB" w:rsidRPr="00620410" w:rsidRDefault="00FC44AB" w:rsidP="00620410">
            <w:pPr>
              <w:rPr>
                <w:b/>
              </w:rPr>
            </w:pPr>
            <w:r w:rsidRPr="00620410">
              <w:rPr>
                <w:b/>
              </w:rPr>
              <w:t>Employer</w:t>
            </w:r>
            <w:r>
              <w:rPr>
                <w:b/>
              </w:rPr>
              <w:t xml:space="preserve"> rate</w:t>
            </w:r>
          </w:p>
        </w:tc>
      </w:tr>
      <w:tr w:rsidR="00B24E85" w14:paraId="191A2B33" w14:textId="77777777" w:rsidTr="004B1766">
        <w:tc>
          <w:tcPr>
            <w:tcW w:w="2376" w:type="dxa"/>
          </w:tcPr>
          <w:p w14:paraId="2724B7D1" w14:textId="46A73C76" w:rsidR="00B24E85" w:rsidRDefault="00B24E85" w:rsidP="00620410">
            <w:r>
              <w:t>Up to £166</w:t>
            </w:r>
          </w:p>
        </w:tc>
        <w:tc>
          <w:tcPr>
            <w:tcW w:w="1701" w:type="dxa"/>
          </w:tcPr>
          <w:p w14:paraId="46ACA5F1" w14:textId="621F935B" w:rsidR="00B24E85" w:rsidRDefault="00B24E85" w:rsidP="00620410">
            <w:r>
              <w:t>Nil*</w:t>
            </w:r>
          </w:p>
        </w:tc>
        <w:tc>
          <w:tcPr>
            <w:tcW w:w="2127" w:type="dxa"/>
          </w:tcPr>
          <w:p w14:paraId="4DB7A3F7" w14:textId="71435ED7" w:rsidR="00B24E85" w:rsidRDefault="00B24E85" w:rsidP="00620410">
            <w:r>
              <w:t>Nil</w:t>
            </w:r>
          </w:p>
        </w:tc>
      </w:tr>
      <w:tr w:rsidR="00B24E85" w14:paraId="377B25EA" w14:textId="77777777" w:rsidTr="004B1766">
        <w:tc>
          <w:tcPr>
            <w:tcW w:w="2376" w:type="dxa"/>
          </w:tcPr>
          <w:p w14:paraId="1BF80FA8" w14:textId="1B61A26A" w:rsidR="00B24E85" w:rsidRDefault="00B24E85" w:rsidP="00620410">
            <w:r>
              <w:t>£166</w:t>
            </w:r>
            <w:r w:rsidR="00082C9A">
              <w:t>.01</w:t>
            </w:r>
            <w:r>
              <w:t xml:space="preserve"> to £962       </w:t>
            </w:r>
          </w:p>
        </w:tc>
        <w:tc>
          <w:tcPr>
            <w:tcW w:w="1701" w:type="dxa"/>
          </w:tcPr>
          <w:p w14:paraId="167D687D" w14:textId="7064F02F" w:rsidR="00B24E85" w:rsidRDefault="00B24E85" w:rsidP="00620410">
            <w:r>
              <w:t>12%</w:t>
            </w:r>
          </w:p>
        </w:tc>
        <w:tc>
          <w:tcPr>
            <w:tcW w:w="2127" w:type="dxa"/>
          </w:tcPr>
          <w:p w14:paraId="79E3E954" w14:textId="409A5B16" w:rsidR="00B24E85" w:rsidRDefault="00B24E85" w:rsidP="00620410">
            <w:r>
              <w:t>13.8%**</w:t>
            </w:r>
          </w:p>
        </w:tc>
      </w:tr>
      <w:tr w:rsidR="00B24E85" w14:paraId="3D1F5093" w14:textId="77777777" w:rsidTr="004B1766">
        <w:tc>
          <w:tcPr>
            <w:tcW w:w="2376" w:type="dxa"/>
          </w:tcPr>
          <w:p w14:paraId="0A6A5927" w14:textId="49CA0F00" w:rsidR="00B24E85" w:rsidRDefault="00B24E85" w:rsidP="00620410">
            <w:r>
              <w:t xml:space="preserve">Over £962                                </w:t>
            </w:r>
          </w:p>
        </w:tc>
        <w:tc>
          <w:tcPr>
            <w:tcW w:w="1701" w:type="dxa"/>
          </w:tcPr>
          <w:p w14:paraId="2CEAEA29" w14:textId="6B5F2B04" w:rsidR="00B24E85" w:rsidRDefault="00B24E85" w:rsidP="00620410">
            <w:r>
              <w:t>2%</w:t>
            </w:r>
          </w:p>
        </w:tc>
        <w:tc>
          <w:tcPr>
            <w:tcW w:w="2127" w:type="dxa"/>
          </w:tcPr>
          <w:p w14:paraId="0B22478B" w14:textId="77777777" w:rsidR="00B24E85" w:rsidRDefault="00B24E85" w:rsidP="00620410"/>
        </w:tc>
      </w:tr>
      <w:tr w:rsidR="00B24E85" w14:paraId="74098E47" w14:textId="77777777" w:rsidTr="004B1766">
        <w:tc>
          <w:tcPr>
            <w:tcW w:w="2376" w:type="dxa"/>
          </w:tcPr>
          <w:p w14:paraId="7562F044" w14:textId="07D06E2E" w:rsidR="00B24E85" w:rsidRDefault="00B24E85" w:rsidP="00620410">
            <w:r>
              <w:t xml:space="preserve">Over state pension age        </w:t>
            </w:r>
          </w:p>
        </w:tc>
        <w:tc>
          <w:tcPr>
            <w:tcW w:w="1701" w:type="dxa"/>
          </w:tcPr>
          <w:p w14:paraId="6FA84AE0" w14:textId="3D022087" w:rsidR="00B24E85" w:rsidRDefault="00B24E85" w:rsidP="00620410">
            <w:r>
              <w:t>0%</w:t>
            </w:r>
          </w:p>
        </w:tc>
        <w:tc>
          <w:tcPr>
            <w:tcW w:w="2127" w:type="dxa"/>
          </w:tcPr>
          <w:p w14:paraId="00D12F20" w14:textId="7CA533EE" w:rsidR="00B24E85" w:rsidRDefault="00B24E85" w:rsidP="00620410">
            <w:r>
              <w:t>13.8%</w:t>
            </w:r>
          </w:p>
        </w:tc>
      </w:tr>
    </w:tbl>
    <w:p w14:paraId="0E7F222F" w14:textId="77777777" w:rsidR="00C7391B" w:rsidRDefault="00C7391B" w:rsidP="00C7391B">
      <w:pPr>
        <w:rPr>
          <w:rFonts w:ascii="Times New Roman" w:hAnsi="Times New Roman" w:cs="Times New Roman"/>
        </w:rPr>
      </w:pPr>
      <w:r>
        <w:t xml:space="preserve">* Entitlement to contribution-based benefits </w:t>
      </w:r>
      <w:proofErr w:type="gramStart"/>
      <w:r>
        <w:t>are</w:t>
      </w:r>
      <w:proofErr w:type="gramEnd"/>
      <w:r>
        <w:t xml:space="preserve"> retained for earnings between £118 and £166 per week</w:t>
      </w:r>
      <w:r>
        <w:rPr>
          <w:rFonts w:ascii="Times New Roman" w:hAnsi="Times New Roman" w:cs="Times New Roman"/>
        </w:rPr>
        <w:t>.</w:t>
      </w:r>
    </w:p>
    <w:p w14:paraId="3E4F2A15" w14:textId="77777777" w:rsidR="00C7391B" w:rsidRDefault="00C7391B" w:rsidP="00C7391B">
      <w:proofErr w:type="gramStart"/>
      <w:r>
        <w:t>** 0% for employees under 21 and apprentices under 25 on earnings up to £962 per week.</w:t>
      </w:r>
      <w:proofErr w:type="gramEnd"/>
    </w:p>
    <w:p w14:paraId="419CA24E" w14:textId="77777777" w:rsidR="004B1766" w:rsidRDefault="004B1766" w:rsidP="00C7391B"/>
    <w:p w14:paraId="00A59FB9" w14:textId="0BA07D79" w:rsidR="002E2CD1" w:rsidRDefault="002E2CD1" w:rsidP="002E2CD1"/>
    <w:tbl>
      <w:tblPr>
        <w:tblStyle w:val="TableGrid"/>
        <w:tblW w:w="0" w:type="auto"/>
        <w:tblLook w:val="04A0" w:firstRow="1" w:lastRow="0" w:firstColumn="1" w:lastColumn="0" w:noHBand="0" w:noVBand="1"/>
      </w:tblPr>
      <w:tblGrid>
        <w:gridCol w:w="5070"/>
        <w:gridCol w:w="1559"/>
      </w:tblGrid>
      <w:tr w:rsidR="004B1766" w14:paraId="1B874A52" w14:textId="77777777" w:rsidTr="004B1766">
        <w:tc>
          <w:tcPr>
            <w:tcW w:w="6629" w:type="dxa"/>
            <w:gridSpan w:val="2"/>
            <w:shd w:val="clear" w:color="auto" w:fill="D9D9D9" w:themeFill="background1" w:themeFillShade="D9"/>
          </w:tcPr>
          <w:p w14:paraId="7AE76E81" w14:textId="68548A39" w:rsidR="004B1766" w:rsidRPr="004B1766" w:rsidRDefault="004B1766" w:rsidP="004B1766">
            <w:pPr>
              <w:jc w:val="center"/>
              <w:rPr>
                <w:b/>
              </w:rPr>
            </w:pPr>
            <w:r w:rsidRPr="004B1766">
              <w:rPr>
                <w:b/>
              </w:rPr>
              <w:t>Class 1A</w:t>
            </w:r>
          </w:p>
        </w:tc>
      </w:tr>
      <w:tr w:rsidR="004B1766" w14:paraId="0AC542CC" w14:textId="77777777" w:rsidTr="004B1766">
        <w:tc>
          <w:tcPr>
            <w:tcW w:w="5070" w:type="dxa"/>
          </w:tcPr>
          <w:p w14:paraId="303ADE38" w14:textId="66978329" w:rsidR="004B1766" w:rsidRDefault="004B1766" w:rsidP="002E2CD1">
            <w:r>
              <w:t>On relevant benefits, including car and fuel benefits</w:t>
            </w:r>
          </w:p>
        </w:tc>
        <w:tc>
          <w:tcPr>
            <w:tcW w:w="1559" w:type="dxa"/>
          </w:tcPr>
          <w:p w14:paraId="5D6BC72F" w14:textId="0B7F115C" w:rsidR="004B1766" w:rsidRDefault="004B1766" w:rsidP="002E2CD1">
            <w:r>
              <w:t>13.8%</w:t>
            </w:r>
          </w:p>
        </w:tc>
      </w:tr>
    </w:tbl>
    <w:p w14:paraId="5FCB112E" w14:textId="77777777" w:rsidR="004B1766" w:rsidRDefault="004B1766" w:rsidP="002E2CD1"/>
    <w:tbl>
      <w:tblPr>
        <w:tblStyle w:val="TableGrid"/>
        <w:tblW w:w="0" w:type="auto"/>
        <w:tblLook w:val="04A0" w:firstRow="1" w:lastRow="0" w:firstColumn="1" w:lastColumn="0" w:noHBand="0" w:noVBand="1"/>
      </w:tblPr>
      <w:tblGrid>
        <w:gridCol w:w="4621"/>
        <w:gridCol w:w="2008"/>
      </w:tblGrid>
      <w:tr w:rsidR="004B1766" w:rsidRPr="004B1766" w14:paraId="5CD0C4B8" w14:textId="77777777" w:rsidTr="004B1766">
        <w:tc>
          <w:tcPr>
            <w:tcW w:w="6629" w:type="dxa"/>
            <w:gridSpan w:val="2"/>
            <w:shd w:val="clear" w:color="auto" w:fill="D9D9D9" w:themeFill="background1" w:themeFillShade="D9"/>
          </w:tcPr>
          <w:p w14:paraId="2D1013B5" w14:textId="124C5130" w:rsidR="004B1766" w:rsidRPr="004B1766" w:rsidRDefault="004B1766" w:rsidP="004B1766">
            <w:pPr>
              <w:jc w:val="center"/>
              <w:rPr>
                <w:b/>
              </w:rPr>
            </w:pPr>
            <w:r w:rsidRPr="004B1766">
              <w:rPr>
                <w:b/>
              </w:rPr>
              <w:t>Class 2</w:t>
            </w:r>
          </w:p>
        </w:tc>
      </w:tr>
      <w:tr w:rsidR="004B1766" w14:paraId="481BD324" w14:textId="77777777" w:rsidTr="004B1766">
        <w:tc>
          <w:tcPr>
            <w:tcW w:w="4621" w:type="dxa"/>
          </w:tcPr>
          <w:p w14:paraId="5017A900" w14:textId="46BE83E6" w:rsidR="004B1766" w:rsidRDefault="004B1766" w:rsidP="002E2CD1">
            <w:r>
              <w:t>Self-employed above small profits threshold</w:t>
            </w:r>
          </w:p>
        </w:tc>
        <w:tc>
          <w:tcPr>
            <w:tcW w:w="2008" w:type="dxa"/>
          </w:tcPr>
          <w:p w14:paraId="36BB3CE4" w14:textId="39B092E2" w:rsidR="004B1766" w:rsidRDefault="004B1766" w:rsidP="002E2CD1">
            <w:r>
              <w:t>£3.00 per week</w:t>
            </w:r>
          </w:p>
        </w:tc>
      </w:tr>
      <w:tr w:rsidR="004B1766" w14:paraId="67853DA1" w14:textId="77777777" w:rsidTr="004B1766">
        <w:tc>
          <w:tcPr>
            <w:tcW w:w="4621" w:type="dxa"/>
          </w:tcPr>
          <w:p w14:paraId="6E7FDD86" w14:textId="6BBE642C" w:rsidR="004B1766" w:rsidRDefault="004B1766" w:rsidP="002E2CD1">
            <w:r>
              <w:t>Small profits threshold</w:t>
            </w:r>
          </w:p>
        </w:tc>
        <w:tc>
          <w:tcPr>
            <w:tcW w:w="2008" w:type="dxa"/>
          </w:tcPr>
          <w:p w14:paraId="3A624887" w14:textId="1C08BD46" w:rsidR="004B1766" w:rsidRDefault="004B1766" w:rsidP="002E2CD1">
            <w:r>
              <w:t>£6,365 per annum</w:t>
            </w:r>
          </w:p>
        </w:tc>
      </w:tr>
    </w:tbl>
    <w:p w14:paraId="0F51FEA6" w14:textId="77777777" w:rsidR="004B1766" w:rsidRDefault="004B1766" w:rsidP="002E2CD1"/>
    <w:tbl>
      <w:tblPr>
        <w:tblStyle w:val="TableGrid"/>
        <w:tblW w:w="0" w:type="auto"/>
        <w:tblLook w:val="04A0" w:firstRow="1" w:lastRow="0" w:firstColumn="1" w:lastColumn="0" w:noHBand="0" w:noVBand="1"/>
      </w:tblPr>
      <w:tblGrid>
        <w:gridCol w:w="4621"/>
        <w:gridCol w:w="2008"/>
      </w:tblGrid>
      <w:tr w:rsidR="004B1766" w:rsidRPr="004B1766" w14:paraId="0DF7DE7E" w14:textId="77777777" w:rsidTr="004B1766">
        <w:tc>
          <w:tcPr>
            <w:tcW w:w="6629" w:type="dxa"/>
            <w:gridSpan w:val="2"/>
            <w:shd w:val="clear" w:color="auto" w:fill="D9D9D9" w:themeFill="background1" w:themeFillShade="D9"/>
          </w:tcPr>
          <w:p w14:paraId="1490B18B" w14:textId="0887373E" w:rsidR="004B1766" w:rsidRPr="004B1766" w:rsidRDefault="004B1766" w:rsidP="004B1766">
            <w:pPr>
              <w:jc w:val="center"/>
              <w:rPr>
                <w:b/>
              </w:rPr>
            </w:pPr>
            <w:r w:rsidRPr="004B1766">
              <w:rPr>
                <w:b/>
              </w:rPr>
              <w:t>Class 3</w:t>
            </w:r>
          </w:p>
        </w:tc>
      </w:tr>
      <w:tr w:rsidR="004B1766" w14:paraId="127DB638" w14:textId="77777777" w:rsidTr="004B1766">
        <w:tc>
          <w:tcPr>
            <w:tcW w:w="4621" w:type="dxa"/>
          </w:tcPr>
          <w:p w14:paraId="791F35B4" w14:textId="5A8B8763" w:rsidR="004B1766" w:rsidRDefault="004B1766" w:rsidP="002E2CD1">
            <w:r>
              <w:t>Voluntary</w:t>
            </w:r>
          </w:p>
        </w:tc>
        <w:tc>
          <w:tcPr>
            <w:tcW w:w="2008" w:type="dxa"/>
          </w:tcPr>
          <w:p w14:paraId="3D5C217E" w14:textId="470618DE" w:rsidR="004B1766" w:rsidRDefault="004B1766" w:rsidP="002E2CD1">
            <w:r>
              <w:t>£15.00 per week</w:t>
            </w:r>
          </w:p>
        </w:tc>
      </w:tr>
    </w:tbl>
    <w:p w14:paraId="1651F3E9" w14:textId="77777777" w:rsidR="004B1766" w:rsidRDefault="004B1766" w:rsidP="002E2CD1"/>
    <w:tbl>
      <w:tblPr>
        <w:tblStyle w:val="TableGrid"/>
        <w:tblW w:w="0" w:type="auto"/>
        <w:tblLook w:val="04A0" w:firstRow="1" w:lastRow="0" w:firstColumn="1" w:lastColumn="0" w:noHBand="0" w:noVBand="1"/>
      </w:tblPr>
      <w:tblGrid>
        <w:gridCol w:w="4621"/>
        <w:gridCol w:w="2008"/>
      </w:tblGrid>
      <w:tr w:rsidR="004B1766" w:rsidRPr="004B1766" w14:paraId="567F98EB" w14:textId="77777777" w:rsidTr="004B1766">
        <w:tc>
          <w:tcPr>
            <w:tcW w:w="6629" w:type="dxa"/>
            <w:gridSpan w:val="2"/>
            <w:shd w:val="clear" w:color="auto" w:fill="D9D9D9" w:themeFill="background1" w:themeFillShade="D9"/>
          </w:tcPr>
          <w:p w14:paraId="70CBD38C" w14:textId="739267D5" w:rsidR="004B1766" w:rsidRPr="004B1766" w:rsidRDefault="004B1766" w:rsidP="004B1766">
            <w:pPr>
              <w:jc w:val="center"/>
              <w:rPr>
                <w:b/>
              </w:rPr>
            </w:pPr>
            <w:r w:rsidRPr="004B1766">
              <w:rPr>
                <w:b/>
              </w:rPr>
              <w:t>Class 4*</w:t>
            </w:r>
          </w:p>
        </w:tc>
      </w:tr>
      <w:tr w:rsidR="004B1766" w14:paraId="6C601710" w14:textId="77777777" w:rsidTr="004B1766">
        <w:tc>
          <w:tcPr>
            <w:tcW w:w="4621" w:type="dxa"/>
          </w:tcPr>
          <w:p w14:paraId="781A6155" w14:textId="5F90E57E" w:rsidR="004B1766" w:rsidRDefault="004B1766" w:rsidP="002E2CD1">
            <w:r>
              <w:t>Self-employed on profits £8,632-£50,000</w:t>
            </w:r>
          </w:p>
        </w:tc>
        <w:tc>
          <w:tcPr>
            <w:tcW w:w="2008" w:type="dxa"/>
          </w:tcPr>
          <w:p w14:paraId="271504A6" w14:textId="56BF2019" w:rsidR="004B1766" w:rsidRDefault="004B1766" w:rsidP="002E2CD1">
            <w:r>
              <w:t>9%</w:t>
            </w:r>
          </w:p>
        </w:tc>
      </w:tr>
      <w:tr w:rsidR="004B1766" w14:paraId="64C98BDE" w14:textId="77777777" w:rsidTr="004B1766">
        <w:tc>
          <w:tcPr>
            <w:tcW w:w="4621" w:type="dxa"/>
          </w:tcPr>
          <w:p w14:paraId="3D61BAF2" w14:textId="48936169" w:rsidR="004B1766" w:rsidRDefault="004B1766" w:rsidP="002E2CD1">
            <w:r>
              <w:t>Over £50,000</w:t>
            </w:r>
          </w:p>
        </w:tc>
        <w:tc>
          <w:tcPr>
            <w:tcW w:w="2008" w:type="dxa"/>
          </w:tcPr>
          <w:p w14:paraId="694DB299" w14:textId="7599FDA1" w:rsidR="004B1766" w:rsidRDefault="004B1766" w:rsidP="002E2CD1">
            <w:r>
              <w:t>2%</w:t>
            </w:r>
          </w:p>
        </w:tc>
      </w:tr>
    </w:tbl>
    <w:p w14:paraId="50E37BE3" w14:textId="77777777" w:rsidR="002E2CD1" w:rsidRDefault="002E2CD1" w:rsidP="002E2CD1">
      <w:pPr>
        <w:rPr>
          <w:rFonts w:ascii="Times New Roman" w:hAnsi="Times New Roman" w:cs="Times New Roman"/>
        </w:rPr>
      </w:pPr>
      <w:r>
        <w:t>* Exemption applies if the state retiremen</w:t>
      </w:r>
      <w:r w:rsidR="005707CD">
        <w:t>t age is reached by 6 April 2019</w:t>
      </w:r>
      <w:r>
        <w:rPr>
          <w:rFonts w:ascii="Times New Roman" w:hAnsi="Times New Roman" w:cs="Times New Roman"/>
        </w:rPr>
        <w:t>.</w:t>
      </w:r>
    </w:p>
    <w:p w14:paraId="421493F9" w14:textId="77777777" w:rsidR="002E2CD1" w:rsidRPr="00AA59CE" w:rsidRDefault="002E2CD1" w:rsidP="00AA59CE">
      <w:pPr>
        <w:rPr>
          <w:b/>
        </w:rPr>
      </w:pPr>
      <w:r w:rsidRPr="00AA59CE">
        <w:rPr>
          <w:b/>
        </w:rPr>
        <w:t>Employment allowance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1276"/>
      </w:tblGrid>
      <w:tr w:rsidR="002E2CD1" w14:paraId="73CAD02B" w14:textId="77777777" w:rsidTr="004B1766">
        <w:tc>
          <w:tcPr>
            <w:tcW w:w="5459" w:type="dxa"/>
          </w:tcPr>
          <w:p w14:paraId="2A7D8F80" w14:textId="54083955" w:rsidR="002E2CD1" w:rsidRDefault="002E2CD1" w:rsidP="004B1766">
            <w:pPr>
              <w:spacing w:after="0" w:line="240" w:lineRule="auto"/>
            </w:pPr>
            <w:r>
              <w:t>Per employer, per year (exclud</w:t>
            </w:r>
            <w:r w:rsidR="004B1766">
              <w:t>es</w:t>
            </w:r>
            <w:r>
              <w:t xml:space="preserve"> </w:t>
            </w:r>
            <w:r w:rsidR="004B1766">
              <w:t>one</w:t>
            </w:r>
            <w:r w:rsidR="00D5313C">
              <w:t>-</w:t>
            </w:r>
            <w:r>
              <w:t>person companies)</w:t>
            </w:r>
          </w:p>
        </w:tc>
        <w:tc>
          <w:tcPr>
            <w:tcW w:w="1276" w:type="dxa"/>
          </w:tcPr>
          <w:p w14:paraId="2DF6E563" w14:textId="53B2C450" w:rsidR="002E2CD1" w:rsidRDefault="005707CD" w:rsidP="002E2CD1">
            <w:pPr>
              <w:spacing w:after="0" w:line="240" w:lineRule="auto"/>
            </w:pPr>
            <w:r>
              <w:t>£</w:t>
            </w:r>
            <w:r w:rsidR="00FC17FD">
              <w:t>3,000</w:t>
            </w:r>
            <w:r w:rsidR="002E2CD1">
              <w:t>*</w:t>
            </w:r>
          </w:p>
        </w:tc>
      </w:tr>
    </w:tbl>
    <w:p w14:paraId="46A0ED38" w14:textId="13FFB8E6" w:rsidR="002E2CD1" w:rsidRDefault="002E2CD1" w:rsidP="002E2CD1">
      <w:r>
        <w:t>*</w:t>
      </w:r>
      <w:r w:rsidR="00D77059">
        <w:t>One</w:t>
      </w:r>
      <w:r>
        <w:t xml:space="preserve"> claim only for companies in a group or under common control. Not available where the director is the only employee paid earnings above the secondary threshold for class 1 </w:t>
      </w:r>
      <w:r w:rsidR="004B1766">
        <w:t>NIC</w:t>
      </w:r>
      <w:r>
        <w:t>s</w:t>
      </w:r>
      <w:r w:rsidR="00E65636">
        <w:t xml:space="preserve">. From April 2020, this will be limited to employers with an employer NICs </w:t>
      </w:r>
      <w:r w:rsidR="000D2F33">
        <w:t>bill below</w:t>
      </w:r>
      <w:r w:rsidR="00FC17FD">
        <w:t xml:space="preserve"> £100,000 in the previous tax year</w:t>
      </w:r>
      <w:r>
        <w:t>.</w:t>
      </w:r>
    </w:p>
    <w:p w14:paraId="26B950E4" w14:textId="77777777" w:rsidR="002E2CD1" w:rsidRPr="00AA59CE" w:rsidRDefault="002E2CD1" w:rsidP="00AA59CE">
      <w:pPr>
        <w:rPr>
          <w:b/>
        </w:rPr>
      </w:pPr>
      <w:r w:rsidRPr="00AA59CE">
        <w:rPr>
          <w:b/>
        </w:rPr>
        <w:t>Apprenticeship levy</w:t>
      </w:r>
    </w:p>
    <w:p w14:paraId="2E61029C" w14:textId="03BEBA17" w:rsidR="002E2CD1" w:rsidRDefault="002E2CD1" w:rsidP="002E2CD1">
      <w:pPr>
        <w:rPr>
          <w:rFonts w:ascii="Times New Roman" w:hAnsi="Times New Roman" w:cs="Times New Roman"/>
        </w:rPr>
      </w:pPr>
      <w:r>
        <w:t>A levy of 0.5% applies where the pay bill exceeds £3</w:t>
      </w:r>
      <w:r w:rsidR="003B1F51">
        <w:t>m</w:t>
      </w:r>
      <w:r>
        <w:t>. There is an allowance of £15,000. Further conditions apply</w:t>
      </w:r>
      <w:r w:rsidR="004B1766">
        <w:t>,</w:t>
      </w:r>
      <w:r>
        <w:t xml:space="preserve"> so please consult with us</w:t>
      </w:r>
      <w:r>
        <w:rPr>
          <w:rFonts w:ascii="Times New Roman" w:hAnsi="Times New Roman" w:cs="Times New Roman"/>
        </w:rPr>
        <w:t>.</w:t>
      </w:r>
    </w:p>
    <w:p w14:paraId="79BDE33A" w14:textId="70E9FA2C" w:rsidR="00E65636" w:rsidRDefault="00E65636" w:rsidP="000D2F33">
      <w:pPr>
        <w:pStyle w:val="Heading2"/>
      </w:pPr>
      <w:r>
        <w:t>STAMP DUTY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7"/>
        <w:gridCol w:w="4775"/>
      </w:tblGrid>
      <w:tr w:rsidR="00E424CC" w14:paraId="5FC965AF" w14:textId="77777777" w:rsidTr="00327E7E">
        <w:tc>
          <w:tcPr>
            <w:tcW w:w="4467" w:type="dxa"/>
          </w:tcPr>
          <w:p w14:paraId="00C95FAD" w14:textId="4F4DB569" w:rsidR="00E424CC" w:rsidRDefault="00E424CC" w:rsidP="00C01992">
            <w:r w:rsidRPr="00DA3F29">
              <w:t xml:space="preserve">Consideration on shares over £1,000 </w:t>
            </w:r>
          </w:p>
        </w:tc>
        <w:tc>
          <w:tcPr>
            <w:tcW w:w="4775" w:type="dxa"/>
          </w:tcPr>
          <w:p w14:paraId="48682E6A" w14:textId="45FDF056" w:rsidR="00E424CC" w:rsidRDefault="00E424CC" w:rsidP="00327E7E">
            <w:pPr>
              <w:spacing w:after="0" w:line="240" w:lineRule="auto"/>
            </w:pPr>
            <w:r>
              <w:t>0.5%</w:t>
            </w:r>
          </w:p>
        </w:tc>
      </w:tr>
    </w:tbl>
    <w:p w14:paraId="13B4FFBA" w14:textId="77777777" w:rsidR="00846C1A" w:rsidRDefault="00846C1A" w:rsidP="002E2CD1">
      <w:pPr>
        <w:rPr>
          <w:rFonts w:ascii="Times New Roman" w:hAnsi="Times New Roman" w:cs="Times New Roman"/>
        </w:rPr>
      </w:pPr>
    </w:p>
    <w:p w14:paraId="5AADF4F6" w14:textId="77777777" w:rsidR="002E2CD1" w:rsidRDefault="002E2CD1" w:rsidP="002E2CD1">
      <w:pPr>
        <w:pStyle w:val="Heading1"/>
      </w:pPr>
      <w:r>
        <w:t xml:space="preserve">PROPERTY TAXES </w:t>
      </w:r>
    </w:p>
    <w:p w14:paraId="5E9B567C" w14:textId="77777777" w:rsidR="00AC2B5B" w:rsidRDefault="00AC2B5B" w:rsidP="00D5313C">
      <w:r>
        <w:t>The incremental rate of tax is only payable on the part of the property price within each band.</w:t>
      </w:r>
    </w:p>
    <w:p w14:paraId="1DF11D32" w14:textId="403DEF62" w:rsidR="003A1B9E" w:rsidRDefault="00AC2B5B" w:rsidP="00D5313C">
      <w:r>
        <w:t xml:space="preserve">An additional 3% rate </w:t>
      </w:r>
      <w:r w:rsidR="00A652F2">
        <w:t xml:space="preserve">(4% in Scotland) </w:t>
      </w:r>
      <w:r>
        <w:t xml:space="preserve">applies to </w:t>
      </w:r>
      <w:r w:rsidR="00A2286A">
        <w:t xml:space="preserve">the purchase of an additional </w:t>
      </w:r>
      <w:r w:rsidR="003A1B9E">
        <w:t xml:space="preserve">residential </w:t>
      </w:r>
      <w:r w:rsidR="0051523C">
        <w:t xml:space="preserve">property </w:t>
      </w:r>
      <w:r w:rsidR="007915BD">
        <w:t xml:space="preserve">above £40,000 </w:t>
      </w:r>
      <w:r w:rsidR="003A1B9E">
        <w:t>and all corporate residential properties.</w:t>
      </w:r>
    </w:p>
    <w:p w14:paraId="425C3B60" w14:textId="149DA4EA" w:rsidR="00A26E75" w:rsidRPr="00D5313C" w:rsidRDefault="003A1B9E" w:rsidP="00D5313C">
      <w:pPr>
        <w:rPr>
          <w:b/>
        </w:rPr>
      </w:pPr>
      <w:r w:rsidRPr="00C01992">
        <w:rPr>
          <w:b/>
        </w:rPr>
        <w:t>E</w:t>
      </w:r>
      <w:r w:rsidR="00FC17FD">
        <w:rPr>
          <w:b/>
        </w:rPr>
        <w:t xml:space="preserve">ngland </w:t>
      </w:r>
      <w:r w:rsidR="00A652F2">
        <w:rPr>
          <w:b/>
        </w:rPr>
        <w:t>and Northern Ireland:</w:t>
      </w:r>
      <w:r w:rsidR="00A26E75" w:rsidRPr="00D5313C">
        <w:rPr>
          <w:b/>
        </w:rPr>
        <w:t xml:space="preserve"> </w:t>
      </w:r>
      <w:r w:rsidR="00A652F2">
        <w:rPr>
          <w:b/>
        </w:rPr>
        <w:t>S</w:t>
      </w:r>
      <w:r w:rsidR="002E2CD1" w:rsidRPr="00D5313C">
        <w:rPr>
          <w:b/>
        </w:rPr>
        <w:t>tamp duty land tax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311"/>
        <w:gridCol w:w="2311"/>
        <w:gridCol w:w="2311"/>
      </w:tblGrid>
      <w:tr w:rsidR="00DD2D2A" w14:paraId="7787B6B0" w14:textId="77777777" w:rsidTr="000D2F33">
        <w:tc>
          <w:tcPr>
            <w:tcW w:w="4621" w:type="dxa"/>
            <w:gridSpan w:val="2"/>
            <w:shd w:val="clear" w:color="auto" w:fill="D9D9D9"/>
          </w:tcPr>
          <w:p w14:paraId="366717B9" w14:textId="6E24A2C1" w:rsidR="00DD2D2A" w:rsidRDefault="00DD2D2A" w:rsidP="00DD2D2A">
            <w:pPr>
              <w:spacing w:after="0" w:line="240" w:lineRule="auto"/>
              <w:rPr>
                <w:b/>
                <w:bCs/>
              </w:rPr>
            </w:pPr>
            <w:r>
              <w:rPr>
                <w:b/>
                <w:bCs/>
              </w:rPr>
              <w:t>On the transfer of residential property</w:t>
            </w:r>
            <w:r w:rsidR="0051523C">
              <w:rPr>
                <w:b/>
                <w:bCs/>
              </w:rPr>
              <w:t>*</w:t>
            </w:r>
            <w:r>
              <w:rPr>
                <w:b/>
                <w:bCs/>
              </w:rPr>
              <w:t xml:space="preserve">                     </w:t>
            </w:r>
          </w:p>
        </w:tc>
        <w:tc>
          <w:tcPr>
            <w:tcW w:w="4622" w:type="dxa"/>
            <w:gridSpan w:val="2"/>
            <w:shd w:val="clear" w:color="auto" w:fill="D9D9D9"/>
          </w:tcPr>
          <w:p w14:paraId="2C05D9F8" w14:textId="77777777" w:rsidR="00DD2D2A" w:rsidRDefault="00DD2D2A" w:rsidP="002E2CD1">
            <w:pPr>
              <w:spacing w:after="0" w:line="240" w:lineRule="auto"/>
              <w:rPr>
                <w:b/>
                <w:bCs/>
              </w:rPr>
            </w:pPr>
            <w:r>
              <w:rPr>
                <w:b/>
                <w:bCs/>
              </w:rPr>
              <w:t>On the transfer of non-residential property</w:t>
            </w:r>
          </w:p>
        </w:tc>
      </w:tr>
      <w:tr w:rsidR="002E2CD1" w14:paraId="2FA02E4D" w14:textId="77777777" w:rsidTr="000D2F33">
        <w:tc>
          <w:tcPr>
            <w:tcW w:w="2310" w:type="dxa"/>
          </w:tcPr>
          <w:p w14:paraId="2C787599" w14:textId="77777777" w:rsidR="002E2CD1" w:rsidRDefault="00B01154" w:rsidP="002E2CD1">
            <w:pPr>
              <w:spacing w:after="0" w:line="240" w:lineRule="auto"/>
            </w:pPr>
            <w:r>
              <w:t xml:space="preserve">£0 – </w:t>
            </w:r>
            <w:r w:rsidR="002E2CD1">
              <w:t>£125,000</w:t>
            </w:r>
          </w:p>
        </w:tc>
        <w:tc>
          <w:tcPr>
            <w:tcW w:w="2311" w:type="dxa"/>
          </w:tcPr>
          <w:p w14:paraId="24444B92" w14:textId="77777777" w:rsidR="002E2CD1" w:rsidRDefault="002E2CD1" w:rsidP="002E2CD1">
            <w:pPr>
              <w:spacing w:after="0" w:line="240" w:lineRule="auto"/>
            </w:pPr>
            <w:r>
              <w:t>0%</w:t>
            </w:r>
          </w:p>
        </w:tc>
        <w:tc>
          <w:tcPr>
            <w:tcW w:w="2311" w:type="dxa"/>
          </w:tcPr>
          <w:p w14:paraId="6B13E379" w14:textId="77777777" w:rsidR="002E2CD1" w:rsidRDefault="002E2CD1" w:rsidP="002E2CD1">
            <w:pPr>
              <w:spacing w:after="0" w:line="240" w:lineRule="auto"/>
            </w:pPr>
            <w:r>
              <w:t>Less than £150,000</w:t>
            </w:r>
          </w:p>
        </w:tc>
        <w:tc>
          <w:tcPr>
            <w:tcW w:w="2311" w:type="dxa"/>
          </w:tcPr>
          <w:p w14:paraId="750A8513" w14:textId="77777777" w:rsidR="002E2CD1" w:rsidRDefault="002E2CD1" w:rsidP="002E2CD1">
            <w:pPr>
              <w:pStyle w:val="Header"/>
              <w:tabs>
                <w:tab w:val="clear" w:pos="4513"/>
                <w:tab w:val="clear" w:pos="9026"/>
              </w:tabs>
            </w:pPr>
            <w:r>
              <w:t>0%</w:t>
            </w:r>
          </w:p>
        </w:tc>
      </w:tr>
      <w:tr w:rsidR="002E2CD1" w14:paraId="69E83E21" w14:textId="77777777" w:rsidTr="000D2F33">
        <w:trPr>
          <w:trHeight w:val="252"/>
        </w:trPr>
        <w:tc>
          <w:tcPr>
            <w:tcW w:w="2310" w:type="dxa"/>
          </w:tcPr>
          <w:p w14:paraId="2F1D1851" w14:textId="77777777" w:rsidR="002E2CD1" w:rsidRDefault="002E2CD1" w:rsidP="003B1F51">
            <w:pPr>
              <w:spacing w:after="0" w:line="240" w:lineRule="auto"/>
            </w:pPr>
            <w:r>
              <w:t>£125,001</w:t>
            </w:r>
            <w:r w:rsidR="00B01154">
              <w:t xml:space="preserve"> – </w:t>
            </w:r>
            <w:r>
              <w:t>£250,000</w:t>
            </w:r>
          </w:p>
        </w:tc>
        <w:tc>
          <w:tcPr>
            <w:tcW w:w="2311" w:type="dxa"/>
          </w:tcPr>
          <w:p w14:paraId="0A3A94D3" w14:textId="77777777" w:rsidR="002E2CD1" w:rsidRDefault="002E2CD1" w:rsidP="002E2CD1">
            <w:pPr>
              <w:spacing w:after="0" w:line="240" w:lineRule="auto"/>
            </w:pPr>
            <w:r>
              <w:t>2%</w:t>
            </w:r>
          </w:p>
        </w:tc>
        <w:tc>
          <w:tcPr>
            <w:tcW w:w="2311" w:type="dxa"/>
          </w:tcPr>
          <w:p w14:paraId="046C1B61" w14:textId="77777777" w:rsidR="002E2CD1" w:rsidRDefault="001841D9" w:rsidP="003B1F51">
            <w:pPr>
              <w:spacing w:after="0" w:line="240" w:lineRule="auto"/>
            </w:pPr>
            <w:r>
              <w:t>£150,001</w:t>
            </w:r>
            <w:r w:rsidR="00B01154">
              <w:t xml:space="preserve"> – </w:t>
            </w:r>
            <w:r w:rsidR="002E2CD1">
              <w:t>£250,000</w:t>
            </w:r>
          </w:p>
        </w:tc>
        <w:tc>
          <w:tcPr>
            <w:tcW w:w="2311" w:type="dxa"/>
          </w:tcPr>
          <w:p w14:paraId="4262F89C" w14:textId="77777777" w:rsidR="002E2CD1" w:rsidRDefault="002E2CD1" w:rsidP="002E2CD1">
            <w:pPr>
              <w:spacing w:after="0" w:line="240" w:lineRule="auto"/>
            </w:pPr>
            <w:r>
              <w:t>2%</w:t>
            </w:r>
          </w:p>
        </w:tc>
      </w:tr>
      <w:tr w:rsidR="002E2CD1" w14:paraId="716B75BA" w14:textId="77777777" w:rsidTr="000D2F33">
        <w:tc>
          <w:tcPr>
            <w:tcW w:w="2310" w:type="dxa"/>
          </w:tcPr>
          <w:p w14:paraId="0DA46071" w14:textId="77777777" w:rsidR="002E2CD1" w:rsidRDefault="002E2CD1" w:rsidP="003B1F51">
            <w:pPr>
              <w:spacing w:after="0" w:line="240" w:lineRule="auto"/>
            </w:pPr>
            <w:r>
              <w:t>£250,001</w:t>
            </w:r>
            <w:r w:rsidR="00B01154">
              <w:t xml:space="preserve"> – </w:t>
            </w:r>
            <w:r>
              <w:t>£925,000</w:t>
            </w:r>
          </w:p>
        </w:tc>
        <w:tc>
          <w:tcPr>
            <w:tcW w:w="2311" w:type="dxa"/>
          </w:tcPr>
          <w:p w14:paraId="76148A77" w14:textId="77777777" w:rsidR="002E2CD1" w:rsidRDefault="002E2CD1" w:rsidP="002E2CD1">
            <w:pPr>
              <w:spacing w:after="0" w:line="240" w:lineRule="auto"/>
            </w:pPr>
            <w:r>
              <w:t>5%</w:t>
            </w:r>
          </w:p>
        </w:tc>
        <w:tc>
          <w:tcPr>
            <w:tcW w:w="2311" w:type="dxa"/>
          </w:tcPr>
          <w:p w14:paraId="0D10F902" w14:textId="77777777" w:rsidR="002E2CD1" w:rsidRDefault="002E2CD1" w:rsidP="002E2CD1">
            <w:pPr>
              <w:spacing w:after="0" w:line="240" w:lineRule="auto"/>
              <w:rPr>
                <w:rFonts w:ascii="Times New Roman" w:hAnsi="Times New Roman" w:cs="Times New Roman"/>
                <w:highlight w:val="yellow"/>
              </w:rPr>
            </w:pPr>
            <w:r>
              <w:t>Over £250,000</w:t>
            </w:r>
          </w:p>
        </w:tc>
        <w:tc>
          <w:tcPr>
            <w:tcW w:w="2311" w:type="dxa"/>
          </w:tcPr>
          <w:p w14:paraId="5F2D8C47" w14:textId="77777777" w:rsidR="002E2CD1" w:rsidRDefault="002E2CD1" w:rsidP="002E2CD1">
            <w:pPr>
              <w:spacing w:after="0" w:line="240" w:lineRule="auto"/>
            </w:pPr>
            <w:r>
              <w:t>5%</w:t>
            </w:r>
          </w:p>
        </w:tc>
      </w:tr>
      <w:tr w:rsidR="002E2CD1" w14:paraId="52C53A19" w14:textId="77777777" w:rsidTr="000D2F33">
        <w:tc>
          <w:tcPr>
            <w:tcW w:w="2310" w:type="dxa"/>
          </w:tcPr>
          <w:p w14:paraId="42905D07" w14:textId="77777777" w:rsidR="002E2CD1" w:rsidRDefault="002E2CD1" w:rsidP="003B1F51">
            <w:pPr>
              <w:spacing w:after="0" w:line="240" w:lineRule="auto"/>
            </w:pPr>
            <w:r>
              <w:lastRenderedPageBreak/>
              <w:t>£925,001</w:t>
            </w:r>
            <w:r w:rsidR="00B01154">
              <w:t xml:space="preserve"> – </w:t>
            </w:r>
            <w:r>
              <w:t>£1</w:t>
            </w:r>
            <w:r w:rsidR="003B1F51">
              <w:t>.5m</w:t>
            </w:r>
          </w:p>
        </w:tc>
        <w:tc>
          <w:tcPr>
            <w:tcW w:w="2311" w:type="dxa"/>
          </w:tcPr>
          <w:p w14:paraId="374DA425" w14:textId="77777777" w:rsidR="002E2CD1" w:rsidRDefault="002E2CD1" w:rsidP="002E2CD1">
            <w:pPr>
              <w:spacing w:after="0" w:line="240" w:lineRule="auto"/>
            </w:pPr>
            <w:r>
              <w:t>10%</w:t>
            </w:r>
          </w:p>
        </w:tc>
        <w:tc>
          <w:tcPr>
            <w:tcW w:w="2311" w:type="dxa"/>
          </w:tcPr>
          <w:p w14:paraId="389EE7AC" w14:textId="77777777" w:rsidR="002E2CD1" w:rsidRDefault="002E2CD1" w:rsidP="002E2CD1">
            <w:pPr>
              <w:spacing w:after="0" w:line="240" w:lineRule="auto"/>
            </w:pPr>
          </w:p>
        </w:tc>
        <w:tc>
          <w:tcPr>
            <w:tcW w:w="2311" w:type="dxa"/>
          </w:tcPr>
          <w:p w14:paraId="432A8F38" w14:textId="77777777" w:rsidR="002E2CD1" w:rsidRDefault="002E2CD1" w:rsidP="002E2CD1">
            <w:pPr>
              <w:spacing w:after="0" w:line="240" w:lineRule="auto"/>
            </w:pPr>
          </w:p>
        </w:tc>
      </w:tr>
      <w:tr w:rsidR="002E2CD1" w14:paraId="52841B62" w14:textId="77777777" w:rsidTr="000D2F33">
        <w:tc>
          <w:tcPr>
            <w:tcW w:w="2310" w:type="dxa"/>
          </w:tcPr>
          <w:p w14:paraId="7352BA5A" w14:textId="77777777" w:rsidR="002E2CD1" w:rsidRDefault="002E2CD1" w:rsidP="003B1F51">
            <w:pPr>
              <w:spacing w:after="0" w:line="240" w:lineRule="auto"/>
            </w:pPr>
            <w:r>
              <w:t>Over £1</w:t>
            </w:r>
            <w:r w:rsidR="003B1F51">
              <w:t>.5m</w:t>
            </w:r>
          </w:p>
        </w:tc>
        <w:tc>
          <w:tcPr>
            <w:tcW w:w="2311" w:type="dxa"/>
          </w:tcPr>
          <w:p w14:paraId="47C416C4" w14:textId="77777777" w:rsidR="002E2CD1" w:rsidRDefault="002E2CD1" w:rsidP="002E2CD1">
            <w:pPr>
              <w:spacing w:after="0" w:line="240" w:lineRule="auto"/>
            </w:pPr>
            <w:r>
              <w:t>12%</w:t>
            </w:r>
          </w:p>
        </w:tc>
        <w:tc>
          <w:tcPr>
            <w:tcW w:w="2311" w:type="dxa"/>
          </w:tcPr>
          <w:p w14:paraId="48AA31A6" w14:textId="77777777" w:rsidR="002E2CD1" w:rsidRDefault="002E2CD1" w:rsidP="002E2CD1">
            <w:pPr>
              <w:spacing w:after="0" w:line="240" w:lineRule="auto"/>
            </w:pPr>
          </w:p>
        </w:tc>
        <w:tc>
          <w:tcPr>
            <w:tcW w:w="2311" w:type="dxa"/>
          </w:tcPr>
          <w:p w14:paraId="443F7BFB" w14:textId="77777777" w:rsidR="002E2CD1" w:rsidRDefault="002E2CD1" w:rsidP="002E2CD1">
            <w:pPr>
              <w:spacing w:after="0" w:line="240" w:lineRule="auto"/>
            </w:pPr>
          </w:p>
        </w:tc>
      </w:tr>
    </w:tbl>
    <w:p w14:paraId="47ED2019" w14:textId="78E5A0ED" w:rsidR="006C58FA" w:rsidRDefault="0051523C" w:rsidP="002E2CD1">
      <w:pPr>
        <w:rPr>
          <w:rFonts w:asciiTheme="minorHAnsi" w:hAnsiTheme="minorHAnsi" w:cstheme="minorHAnsi"/>
        </w:rPr>
      </w:pPr>
      <w:r>
        <w:rPr>
          <w:rFonts w:asciiTheme="minorHAnsi" w:hAnsiTheme="minorHAnsi" w:cstheme="minorHAnsi"/>
        </w:rPr>
        <w:t>*</w:t>
      </w:r>
      <w:r w:rsidR="002E2CD1" w:rsidRPr="002E2CD1">
        <w:rPr>
          <w:rFonts w:asciiTheme="minorHAnsi" w:hAnsiTheme="minorHAnsi" w:cstheme="minorHAnsi"/>
        </w:rPr>
        <w:t xml:space="preserve">First-time buyers pay nothing on the first £300,000 </w:t>
      </w:r>
      <w:r w:rsidR="006C58FA">
        <w:rPr>
          <w:rFonts w:asciiTheme="minorHAnsi" w:hAnsiTheme="minorHAnsi" w:cstheme="minorHAnsi"/>
        </w:rPr>
        <w:t>for properties up to £500,000.</w:t>
      </w:r>
      <w:r>
        <w:rPr>
          <w:rFonts w:asciiTheme="minorHAnsi" w:hAnsiTheme="minorHAnsi" w:cstheme="minorHAnsi"/>
        </w:rPr>
        <w:t xml:space="preserve"> A rate of 5% applies between £300,000 and £500,000.</w:t>
      </w:r>
    </w:p>
    <w:p w14:paraId="0114191D" w14:textId="55865BD2" w:rsidR="002E2CD1" w:rsidRDefault="002E2CD1" w:rsidP="002E2CD1">
      <w:r>
        <w:t xml:space="preserve">For </w:t>
      </w:r>
      <w:r w:rsidR="006C58FA">
        <w:t xml:space="preserve">residential </w:t>
      </w:r>
      <w:r>
        <w:t xml:space="preserve">purchases by </w:t>
      </w:r>
      <w:r w:rsidR="00F55D65">
        <w:t>‘</w:t>
      </w:r>
      <w:r w:rsidR="0051523C">
        <w:t>non-natural persons</w:t>
      </w:r>
      <w:r w:rsidR="00F55D65">
        <w:t>’</w:t>
      </w:r>
      <w:r>
        <w:t xml:space="preserve"> </w:t>
      </w:r>
      <w:r w:rsidR="006C58FA">
        <w:t>over</w:t>
      </w:r>
      <w:r>
        <w:t xml:space="preserve"> £500,000 a rate of 15% applies, subject to certain exclusions.</w:t>
      </w:r>
    </w:p>
    <w:p w14:paraId="169135E8" w14:textId="773DD045" w:rsidR="00517111" w:rsidRPr="00D5313C" w:rsidRDefault="000D2F33" w:rsidP="00D5313C">
      <w:pPr>
        <w:rPr>
          <w:b/>
        </w:rPr>
      </w:pPr>
      <w:r>
        <w:rPr>
          <w:b/>
        </w:rPr>
        <w:t>Scotland: L</w:t>
      </w:r>
      <w:r w:rsidR="00E5442F" w:rsidRPr="00D5313C">
        <w:rPr>
          <w:b/>
        </w:rPr>
        <w:t xml:space="preserve">and and </w:t>
      </w:r>
      <w:r>
        <w:rPr>
          <w:b/>
        </w:rPr>
        <w:t>buildings t</w:t>
      </w:r>
      <w:r w:rsidR="00E5442F" w:rsidRPr="00D5313C">
        <w:rPr>
          <w:b/>
        </w:rPr>
        <w:t>ransaction 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129"/>
        <w:gridCol w:w="2373"/>
        <w:gridCol w:w="2254"/>
      </w:tblGrid>
      <w:tr w:rsidR="00DD2D2A" w:rsidRPr="001B0063" w14:paraId="5EF894DA" w14:textId="77777777" w:rsidTr="00C01992">
        <w:tc>
          <w:tcPr>
            <w:tcW w:w="4389" w:type="dxa"/>
            <w:gridSpan w:val="2"/>
            <w:tcBorders>
              <w:top w:val="single" w:sz="4" w:space="0" w:color="auto"/>
              <w:left w:val="single" w:sz="4" w:space="0" w:color="auto"/>
              <w:bottom w:val="single" w:sz="4" w:space="0" w:color="auto"/>
              <w:right w:val="single" w:sz="4" w:space="0" w:color="auto"/>
            </w:tcBorders>
            <w:shd w:val="clear" w:color="auto" w:fill="D9D9D9"/>
          </w:tcPr>
          <w:p w14:paraId="500C4D33" w14:textId="58494F8A" w:rsidR="00DD2D2A" w:rsidRPr="001B0063" w:rsidRDefault="00DD2D2A" w:rsidP="00DD2D2A">
            <w:pPr>
              <w:spacing w:after="0" w:line="240" w:lineRule="auto"/>
              <w:rPr>
                <w:b/>
              </w:rPr>
            </w:pPr>
            <w:r w:rsidRPr="001B0063">
              <w:rPr>
                <w:b/>
              </w:rPr>
              <w:t>On the transfer of residential property</w:t>
            </w:r>
            <w:r w:rsidR="0051523C">
              <w:rPr>
                <w:b/>
              </w:rPr>
              <w:t>*</w:t>
            </w:r>
            <w:r w:rsidRPr="001B0063">
              <w:rPr>
                <w:b/>
              </w:rPr>
              <w:t xml:space="preserve">                    </w:t>
            </w:r>
          </w:p>
        </w:tc>
        <w:tc>
          <w:tcPr>
            <w:tcW w:w="4627" w:type="dxa"/>
            <w:gridSpan w:val="2"/>
            <w:tcBorders>
              <w:top w:val="single" w:sz="4" w:space="0" w:color="auto"/>
              <w:left w:val="single" w:sz="4" w:space="0" w:color="auto"/>
              <w:bottom w:val="single" w:sz="4" w:space="0" w:color="auto"/>
              <w:right w:val="single" w:sz="4" w:space="0" w:color="auto"/>
            </w:tcBorders>
            <w:shd w:val="clear" w:color="auto" w:fill="D9D9D9"/>
          </w:tcPr>
          <w:p w14:paraId="02FA7F76" w14:textId="77777777" w:rsidR="00DD2D2A" w:rsidRPr="001B0063" w:rsidRDefault="00DD2D2A" w:rsidP="00AC2B5B">
            <w:pPr>
              <w:spacing w:after="0" w:line="240" w:lineRule="auto"/>
              <w:rPr>
                <w:b/>
              </w:rPr>
            </w:pPr>
            <w:r w:rsidRPr="001B0063">
              <w:rPr>
                <w:b/>
              </w:rPr>
              <w:t>On the transfer of non-residential property</w:t>
            </w:r>
          </w:p>
        </w:tc>
      </w:tr>
      <w:tr w:rsidR="00E5442F" w:rsidRPr="001B0063" w14:paraId="46181B92" w14:textId="77777777" w:rsidTr="00C01992">
        <w:tc>
          <w:tcPr>
            <w:tcW w:w="2260" w:type="dxa"/>
            <w:tcBorders>
              <w:top w:val="single" w:sz="4" w:space="0" w:color="auto"/>
              <w:left w:val="single" w:sz="4" w:space="0" w:color="auto"/>
              <w:bottom w:val="single" w:sz="4" w:space="0" w:color="auto"/>
              <w:right w:val="single" w:sz="4" w:space="0" w:color="auto"/>
            </w:tcBorders>
          </w:tcPr>
          <w:p w14:paraId="017357E0" w14:textId="77777777" w:rsidR="00E5442F" w:rsidRPr="001B0063" w:rsidRDefault="00E5442F" w:rsidP="00073D2E">
            <w:pPr>
              <w:spacing w:after="0" w:line="240" w:lineRule="auto"/>
            </w:pPr>
            <w:r w:rsidRPr="001B0063">
              <w:t>£0</w:t>
            </w:r>
            <w:r w:rsidR="00B01154">
              <w:t xml:space="preserve"> – </w:t>
            </w:r>
            <w:r w:rsidRPr="001B0063">
              <w:t>£145,000</w:t>
            </w:r>
          </w:p>
        </w:tc>
        <w:tc>
          <w:tcPr>
            <w:tcW w:w="2129" w:type="dxa"/>
            <w:tcBorders>
              <w:top w:val="single" w:sz="4" w:space="0" w:color="auto"/>
              <w:left w:val="single" w:sz="4" w:space="0" w:color="auto"/>
              <w:bottom w:val="single" w:sz="4" w:space="0" w:color="auto"/>
              <w:right w:val="single" w:sz="4" w:space="0" w:color="auto"/>
            </w:tcBorders>
          </w:tcPr>
          <w:p w14:paraId="40FEED57" w14:textId="77777777" w:rsidR="00E5442F" w:rsidRPr="001B0063" w:rsidRDefault="00E5442F" w:rsidP="006C2838">
            <w:pPr>
              <w:spacing w:after="0" w:line="240" w:lineRule="auto"/>
            </w:pPr>
            <w:r w:rsidRPr="001B0063">
              <w:t>0%</w:t>
            </w:r>
          </w:p>
        </w:tc>
        <w:tc>
          <w:tcPr>
            <w:tcW w:w="2373" w:type="dxa"/>
            <w:tcBorders>
              <w:top w:val="single" w:sz="4" w:space="0" w:color="auto"/>
              <w:left w:val="single" w:sz="4" w:space="0" w:color="auto"/>
              <w:bottom w:val="single" w:sz="4" w:space="0" w:color="auto"/>
              <w:right w:val="single" w:sz="4" w:space="0" w:color="auto"/>
            </w:tcBorders>
          </w:tcPr>
          <w:p w14:paraId="0EE3E898" w14:textId="77777777" w:rsidR="00E5442F" w:rsidRPr="001B0063" w:rsidRDefault="001841D9" w:rsidP="006C2838">
            <w:pPr>
              <w:spacing w:after="0" w:line="240" w:lineRule="auto"/>
            </w:pPr>
            <w:r>
              <w:t>£0</w:t>
            </w:r>
            <w:r w:rsidR="00B01154">
              <w:t xml:space="preserve"> – </w:t>
            </w:r>
            <w:r w:rsidR="00E5442F" w:rsidRPr="001B0063">
              <w:t>£150,000</w:t>
            </w:r>
          </w:p>
        </w:tc>
        <w:tc>
          <w:tcPr>
            <w:tcW w:w="2254" w:type="dxa"/>
            <w:tcBorders>
              <w:top w:val="single" w:sz="4" w:space="0" w:color="auto"/>
              <w:left w:val="single" w:sz="4" w:space="0" w:color="auto"/>
              <w:bottom w:val="single" w:sz="4" w:space="0" w:color="auto"/>
              <w:right w:val="single" w:sz="4" w:space="0" w:color="auto"/>
            </w:tcBorders>
          </w:tcPr>
          <w:p w14:paraId="585EC0D2" w14:textId="77777777" w:rsidR="00E5442F" w:rsidRPr="001B0063" w:rsidRDefault="00E5442F" w:rsidP="006C2838">
            <w:pPr>
              <w:spacing w:after="0" w:line="240" w:lineRule="auto"/>
            </w:pPr>
            <w:r w:rsidRPr="001B0063">
              <w:t>0%</w:t>
            </w:r>
          </w:p>
        </w:tc>
      </w:tr>
      <w:tr w:rsidR="00E5442F" w:rsidRPr="001B0063" w14:paraId="44B7E7C4" w14:textId="77777777" w:rsidTr="00C01992">
        <w:trPr>
          <w:cantSplit/>
          <w:trHeight w:val="252"/>
        </w:trPr>
        <w:tc>
          <w:tcPr>
            <w:tcW w:w="2260" w:type="dxa"/>
            <w:tcBorders>
              <w:top w:val="single" w:sz="4" w:space="0" w:color="auto"/>
              <w:left w:val="single" w:sz="4" w:space="0" w:color="auto"/>
              <w:bottom w:val="single" w:sz="4" w:space="0" w:color="auto"/>
              <w:right w:val="single" w:sz="4" w:space="0" w:color="auto"/>
            </w:tcBorders>
          </w:tcPr>
          <w:p w14:paraId="25E67D5E" w14:textId="77777777" w:rsidR="00E5442F" w:rsidRPr="001B0063" w:rsidRDefault="00E5442F" w:rsidP="006C2838">
            <w:pPr>
              <w:spacing w:after="0" w:line="240" w:lineRule="auto"/>
            </w:pPr>
            <w:r w:rsidRPr="001B0063">
              <w:t>£145,001</w:t>
            </w:r>
            <w:r w:rsidR="00B01154">
              <w:t xml:space="preserve"> – </w:t>
            </w:r>
            <w:r w:rsidRPr="001B0063">
              <w:t>£250,000</w:t>
            </w:r>
          </w:p>
        </w:tc>
        <w:tc>
          <w:tcPr>
            <w:tcW w:w="2129" w:type="dxa"/>
            <w:tcBorders>
              <w:top w:val="single" w:sz="4" w:space="0" w:color="auto"/>
              <w:left w:val="single" w:sz="4" w:space="0" w:color="auto"/>
              <w:bottom w:val="single" w:sz="4" w:space="0" w:color="auto"/>
              <w:right w:val="single" w:sz="4" w:space="0" w:color="auto"/>
            </w:tcBorders>
          </w:tcPr>
          <w:p w14:paraId="16644403" w14:textId="77777777" w:rsidR="00E5442F" w:rsidRPr="001B0063" w:rsidRDefault="00E5442F" w:rsidP="006C2838">
            <w:pPr>
              <w:spacing w:after="0" w:line="240" w:lineRule="auto"/>
            </w:pPr>
            <w:r w:rsidRPr="001B0063">
              <w:t>2%</w:t>
            </w:r>
          </w:p>
        </w:tc>
        <w:tc>
          <w:tcPr>
            <w:tcW w:w="2373" w:type="dxa"/>
            <w:tcBorders>
              <w:top w:val="single" w:sz="4" w:space="0" w:color="auto"/>
              <w:left w:val="single" w:sz="4" w:space="0" w:color="auto"/>
              <w:bottom w:val="single" w:sz="4" w:space="0" w:color="auto"/>
              <w:right w:val="single" w:sz="4" w:space="0" w:color="auto"/>
            </w:tcBorders>
          </w:tcPr>
          <w:p w14:paraId="1F91D7CC" w14:textId="7ED57C7A" w:rsidR="00E5442F" w:rsidRPr="001B0063" w:rsidRDefault="00E5442F" w:rsidP="006C2838">
            <w:pPr>
              <w:spacing w:after="0" w:line="240" w:lineRule="auto"/>
            </w:pPr>
            <w:r w:rsidRPr="001B0063">
              <w:t>£150,001</w:t>
            </w:r>
            <w:r w:rsidR="00B01154">
              <w:t xml:space="preserve"> – </w:t>
            </w:r>
            <w:r w:rsidRPr="001B0063">
              <w:t>£</w:t>
            </w:r>
            <w:r w:rsidR="00517111">
              <w:t>2</w:t>
            </w:r>
            <w:r w:rsidRPr="001B0063">
              <w:t xml:space="preserve">50,000    </w:t>
            </w:r>
          </w:p>
        </w:tc>
        <w:tc>
          <w:tcPr>
            <w:tcW w:w="2254" w:type="dxa"/>
            <w:tcBorders>
              <w:top w:val="single" w:sz="4" w:space="0" w:color="auto"/>
              <w:left w:val="single" w:sz="4" w:space="0" w:color="auto"/>
              <w:bottom w:val="single" w:sz="4" w:space="0" w:color="auto"/>
              <w:right w:val="single" w:sz="4" w:space="0" w:color="auto"/>
            </w:tcBorders>
          </w:tcPr>
          <w:p w14:paraId="39106322" w14:textId="5F1555DF" w:rsidR="00E5442F" w:rsidRPr="001B0063" w:rsidRDefault="00517111" w:rsidP="006C2838">
            <w:pPr>
              <w:spacing w:after="0" w:line="240" w:lineRule="auto"/>
            </w:pPr>
            <w:r>
              <w:t>1</w:t>
            </w:r>
            <w:r w:rsidR="00E5442F" w:rsidRPr="001B0063">
              <w:t>%</w:t>
            </w:r>
          </w:p>
        </w:tc>
      </w:tr>
      <w:tr w:rsidR="00E5442F" w:rsidRPr="001B0063" w14:paraId="1B95DC26" w14:textId="77777777" w:rsidTr="00C01992">
        <w:trPr>
          <w:cantSplit/>
        </w:trPr>
        <w:tc>
          <w:tcPr>
            <w:tcW w:w="2260" w:type="dxa"/>
            <w:tcBorders>
              <w:top w:val="single" w:sz="4" w:space="0" w:color="auto"/>
              <w:left w:val="single" w:sz="4" w:space="0" w:color="auto"/>
              <w:bottom w:val="single" w:sz="4" w:space="0" w:color="auto"/>
              <w:right w:val="single" w:sz="4" w:space="0" w:color="auto"/>
            </w:tcBorders>
          </w:tcPr>
          <w:p w14:paraId="5E4330EE" w14:textId="77777777" w:rsidR="00E5442F" w:rsidRPr="001B0063" w:rsidRDefault="00E5442F" w:rsidP="006C2838">
            <w:pPr>
              <w:spacing w:after="0" w:line="240" w:lineRule="auto"/>
            </w:pPr>
            <w:r w:rsidRPr="001B0063">
              <w:t>£250,001</w:t>
            </w:r>
            <w:r w:rsidR="00B01154">
              <w:t xml:space="preserve"> – </w:t>
            </w:r>
            <w:r w:rsidRPr="001B0063">
              <w:t>£325,000</w:t>
            </w:r>
          </w:p>
        </w:tc>
        <w:tc>
          <w:tcPr>
            <w:tcW w:w="2129" w:type="dxa"/>
            <w:tcBorders>
              <w:top w:val="single" w:sz="4" w:space="0" w:color="auto"/>
              <w:left w:val="single" w:sz="4" w:space="0" w:color="auto"/>
              <w:bottom w:val="single" w:sz="4" w:space="0" w:color="auto"/>
              <w:right w:val="single" w:sz="4" w:space="0" w:color="auto"/>
            </w:tcBorders>
          </w:tcPr>
          <w:p w14:paraId="52B8F56C" w14:textId="77777777" w:rsidR="00E5442F" w:rsidRPr="001B0063" w:rsidRDefault="00E5442F" w:rsidP="006C2838">
            <w:pPr>
              <w:spacing w:after="0" w:line="240" w:lineRule="auto"/>
            </w:pPr>
            <w:r w:rsidRPr="001B0063">
              <w:t>5%</w:t>
            </w:r>
          </w:p>
        </w:tc>
        <w:tc>
          <w:tcPr>
            <w:tcW w:w="2373" w:type="dxa"/>
            <w:tcBorders>
              <w:top w:val="single" w:sz="4" w:space="0" w:color="auto"/>
              <w:left w:val="single" w:sz="4" w:space="0" w:color="auto"/>
              <w:bottom w:val="single" w:sz="4" w:space="0" w:color="auto"/>
              <w:right w:val="single" w:sz="4" w:space="0" w:color="auto"/>
            </w:tcBorders>
          </w:tcPr>
          <w:p w14:paraId="1CAC1DB5" w14:textId="508C2819" w:rsidR="00E5442F" w:rsidRPr="001B0063" w:rsidRDefault="00E5442F" w:rsidP="006C2838">
            <w:pPr>
              <w:spacing w:after="0" w:line="240" w:lineRule="auto"/>
            </w:pPr>
            <w:r w:rsidRPr="001B0063">
              <w:t>Over £</w:t>
            </w:r>
            <w:r w:rsidR="00517111">
              <w:t>2</w:t>
            </w:r>
            <w:r w:rsidRPr="001B0063">
              <w:t xml:space="preserve">50,000         </w:t>
            </w:r>
          </w:p>
        </w:tc>
        <w:tc>
          <w:tcPr>
            <w:tcW w:w="2254" w:type="dxa"/>
            <w:tcBorders>
              <w:top w:val="single" w:sz="4" w:space="0" w:color="auto"/>
              <w:left w:val="single" w:sz="4" w:space="0" w:color="auto"/>
              <w:bottom w:val="single" w:sz="4" w:space="0" w:color="auto"/>
              <w:right w:val="single" w:sz="4" w:space="0" w:color="auto"/>
            </w:tcBorders>
          </w:tcPr>
          <w:p w14:paraId="11FC6AB2" w14:textId="2BEB29FD" w:rsidR="00E5442F" w:rsidRPr="001B0063" w:rsidRDefault="00517111" w:rsidP="006C2838">
            <w:pPr>
              <w:spacing w:after="0" w:line="240" w:lineRule="auto"/>
            </w:pPr>
            <w:r>
              <w:t>5</w:t>
            </w:r>
            <w:r w:rsidR="00E5442F" w:rsidRPr="001B0063">
              <w:t>%</w:t>
            </w:r>
          </w:p>
        </w:tc>
      </w:tr>
      <w:tr w:rsidR="00E5442F" w:rsidRPr="001B0063" w14:paraId="31B3D7D2" w14:textId="77777777" w:rsidTr="00C01992">
        <w:trPr>
          <w:cantSplit/>
        </w:trPr>
        <w:tc>
          <w:tcPr>
            <w:tcW w:w="2260" w:type="dxa"/>
            <w:tcBorders>
              <w:top w:val="single" w:sz="4" w:space="0" w:color="auto"/>
              <w:left w:val="single" w:sz="4" w:space="0" w:color="auto"/>
              <w:bottom w:val="single" w:sz="4" w:space="0" w:color="auto"/>
              <w:right w:val="single" w:sz="4" w:space="0" w:color="auto"/>
            </w:tcBorders>
          </w:tcPr>
          <w:p w14:paraId="5F2B5B18" w14:textId="77777777" w:rsidR="00E5442F" w:rsidRPr="001B0063" w:rsidRDefault="00B01154" w:rsidP="00B01154">
            <w:pPr>
              <w:spacing w:after="0" w:line="240" w:lineRule="auto"/>
            </w:pPr>
            <w:r>
              <w:t xml:space="preserve">£325,001 – </w:t>
            </w:r>
            <w:r w:rsidR="00E5442F" w:rsidRPr="001B0063">
              <w:t>£750,000</w:t>
            </w:r>
          </w:p>
        </w:tc>
        <w:tc>
          <w:tcPr>
            <w:tcW w:w="2129" w:type="dxa"/>
            <w:tcBorders>
              <w:top w:val="single" w:sz="4" w:space="0" w:color="auto"/>
              <w:left w:val="single" w:sz="4" w:space="0" w:color="auto"/>
              <w:bottom w:val="single" w:sz="4" w:space="0" w:color="auto"/>
              <w:right w:val="single" w:sz="4" w:space="0" w:color="auto"/>
            </w:tcBorders>
          </w:tcPr>
          <w:p w14:paraId="1D5297E4" w14:textId="77777777" w:rsidR="00E5442F" w:rsidRPr="001B0063" w:rsidRDefault="00E5442F" w:rsidP="006C2838">
            <w:pPr>
              <w:spacing w:after="0" w:line="240" w:lineRule="auto"/>
            </w:pPr>
            <w:r w:rsidRPr="001B0063">
              <w:t>10%</w:t>
            </w:r>
          </w:p>
        </w:tc>
        <w:tc>
          <w:tcPr>
            <w:tcW w:w="2373" w:type="dxa"/>
            <w:tcBorders>
              <w:top w:val="single" w:sz="4" w:space="0" w:color="auto"/>
              <w:left w:val="single" w:sz="4" w:space="0" w:color="auto"/>
              <w:bottom w:val="single" w:sz="4" w:space="0" w:color="auto"/>
              <w:right w:val="single" w:sz="4" w:space="0" w:color="auto"/>
            </w:tcBorders>
          </w:tcPr>
          <w:p w14:paraId="0499B616" w14:textId="77777777" w:rsidR="00E5442F" w:rsidRPr="001B0063" w:rsidRDefault="00E5442F" w:rsidP="006C2838">
            <w:pPr>
              <w:spacing w:after="0" w:line="240" w:lineRule="auto"/>
            </w:pPr>
          </w:p>
        </w:tc>
        <w:tc>
          <w:tcPr>
            <w:tcW w:w="2254" w:type="dxa"/>
            <w:tcBorders>
              <w:top w:val="single" w:sz="4" w:space="0" w:color="auto"/>
              <w:left w:val="single" w:sz="4" w:space="0" w:color="auto"/>
              <w:bottom w:val="single" w:sz="4" w:space="0" w:color="auto"/>
              <w:right w:val="single" w:sz="4" w:space="0" w:color="auto"/>
            </w:tcBorders>
          </w:tcPr>
          <w:p w14:paraId="17EB1C92" w14:textId="77777777" w:rsidR="00E5442F" w:rsidRPr="001B0063" w:rsidRDefault="00E5442F" w:rsidP="006C2838">
            <w:pPr>
              <w:spacing w:after="0" w:line="240" w:lineRule="auto"/>
            </w:pPr>
          </w:p>
        </w:tc>
      </w:tr>
      <w:tr w:rsidR="00E5442F" w:rsidRPr="001B0063" w14:paraId="3419671D" w14:textId="77777777" w:rsidTr="00C01992">
        <w:trPr>
          <w:cantSplit/>
        </w:trPr>
        <w:tc>
          <w:tcPr>
            <w:tcW w:w="2260" w:type="dxa"/>
            <w:tcBorders>
              <w:top w:val="single" w:sz="4" w:space="0" w:color="auto"/>
              <w:left w:val="single" w:sz="4" w:space="0" w:color="auto"/>
              <w:bottom w:val="single" w:sz="4" w:space="0" w:color="auto"/>
              <w:right w:val="single" w:sz="4" w:space="0" w:color="auto"/>
            </w:tcBorders>
          </w:tcPr>
          <w:p w14:paraId="5B6B5167" w14:textId="77777777" w:rsidR="00E5442F" w:rsidRPr="001B0063" w:rsidRDefault="00E5442F" w:rsidP="006C2838">
            <w:pPr>
              <w:spacing w:after="0" w:line="240" w:lineRule="auto"/>
            </w:pPr>
            <w:r w:rsidRPr="001B0063">
              <w:t>Over £750,000</w:t>
            </w:r>
          </w:p>
        </w:tc>
        <w:tc>
          <w:tcPr>
            <w:tcW w:w="2129" w:type="dxa"/>
            <w:tcBorders>
              <w:top w:val="single" w:sz="4" w:space="0" w:color="auto"/>
              <w:left w:val="single" w:sz="4" w:space="0" w:color="auto"/>
              <w:bottom w:val="single" w:sz="4" w:space="0" w:color="auto"/>
              <w:right w:val="single" w:sz="4" w:space="0" w:color="auto"/>
            </w:tcBorders>
          </w:tcPr>
          <w:p w14:paraId="3F1ECC83" w14:textId="77777777" w:rsidR="00E5442F" w:rsidRPr="001B0063" w:rsidRDefault="00E5442F" w:rsidP="006C2838">
            <w:pPr>
              <w:spacing w:after="0" w:line="240" w:lineRule="auto"/>
            </w:pPr>
            <w:r w:rsidRPr="001B0063">
              <w:t>12%</w:t>
            </w:r>
          </w:p>
        </w:tc>
        <w:tc>
          <w:tcPr>
            <w:tcW w:w="2373" w:type="dxa"/>
            <w:tcBorders>
              <w:top w:val="single" w:sz="4" w:space="0" w:color="auto"/>
              <w:left w:val="single" w:sz="4" w:space="0" w:color="auto"/>
              <w:bottom w:val="single" w:sz="4" w:space="0" w:color="auto"/>
              <w:right w:val="single" w:sz="4" w:space="0" w:color="auto"/>
            </w:tcBorders>
          </w:tcPr>
          <w:p w14:paraId="1B988D3E" w14:textId="77777777" w:rsidR="00E5442F" w:rsidRPr="001B0063" w:rsidRDefault="00E5442F" w:rsidP="006C2838">
            <w:pPr>
              <w:spacing w:after="0" w:line="240" w:lineRule="auto"/>
            </w:pPr>
          </w:p>
        </w:tc>
        <w:tc>
          <w:tcPr>
            <w:tcW w:w="2254" w:type="dxa"/>
            <w:tcBorders>
              <w:top w:val="single" w:sz="4" w:space="0" w:color="auto"/>
              <w:left w:val="single" w:sz="4" w:space="0" w:color="auto"/>
              <w:bottom w:val="single" w:sz="4" w:space="0" w:color="auto"/>
              <w:right w:val="single" w:sz="4" w:space="0" w:color="auto"/>
            </w:tcBorders>
          </w:tcPr>
          <w:p w14:paraId="466F3A39" w14:textId="77777777" w:rsidR="00E5442F" w:rsidRPr="001B0063" w:rsidRDefault="00E5442F" w:rsidP="006C2838">
            <w:pPr>
              <w:spacing w:after="0" w:line="240" w:lineRule="auto"/>
            </w:pPr>
          </w:p>
        </w:tc>
      </w:tr>
    </w:tbl>
    <w:p w14:paraId="4D95852C" w14:textId="13A266AA" w:rsidR="001B0927" w:rsidRPr="000D77CC" w:rsidRDefault="0051523C" w:rsidP="001B0927">
      <w:r>
        <w:t>*</w:t>
      </w:r>
      <w:r w:rsidR="00073D2E">
        <w:t xml:space="preserve">First-time buyers pay nothing on the first </w:t>
      </w:r>
      <w:r w:rsidR="001B0927">
        <w:t>£175,000.</w:t>
      </w:r>
    </w:p>
    <w:p w14:paraId="7C22C751" w14:textId="34A2479D" w:rsidR="002E2CD1" w:rsidRPr="00781702" w:rsidRDefault="000D2F33" w:rsidP="00D5313C">
      <w:r>
        <w:rPr>
          <w:b/>
        </w:rPr>
        <w:t>Wales: L</w:t>
      </w:r>
      <w:r w:rsidR="00A652F2">
        <w:rPr>
          <w:b/>
        </w:rPr>
        <w:t>and transaction tax</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09"/>
        <w:gridCol w:w="2310"/>
        <w:gridCol w:w="2309"/>
      </w:tblGrid>
      <w:tr w:rsidR="00DD2D2A" w14:paraId="28E16DA1" w14:textId="77777777" w:rsidTr="00EE7EC5">
        <w:tc>
          <w:tcPr>
            <w:tcW w:w="4618" w:type="dxa"/>
            <w:gridSpan w:val="2"/>
            <w:shd w:val="clear" w:color="auto" w:fill="D9D9D9"/>
          </w:tcPr>
          <w:p w14:paraId="5D456290" w14:textId="77777777" w:rsidR="00DD2D2A" w:rsidRDefault="00DD2D2A" w:rsidP="00DD2D2A">
            <w:pPr>
              <w:spacing w:after="0" w:line="240" w:lineRule="auto"/>
              <w:rPr>
                <w:b/>
                <w:bCs/>
              </w:rPr>
            </w:pPr>
            <w:r>
              <w:rPr>
                <w:b/>
                <w:bCs/>
              </w:rPr>
              <w:t xml:space="preserve">On the transfer of residential property                    </w:t>
            </w:r>
          </w:p>
        </w:tc>
        <w:tc>
          <w:tcPr>
            <w:tcW w:w="4618" w:type="dxa"/>
            <w:gridSpan w:val="2"/>
            <w:shd w:val="clear" w:color="auto" w:fill="D9D9D9"/>
          </w:tcPr>
          <w:p w14:paraId="49E31D22" w14:textId="77777777" w:rsidR="00DD2D2A" w:rsidRDefault="00DD2D2A" w:rsidP="00AC2B5B">
            <w:pPr>
              <w:spacing w:after="0" w:line="240" w:lineRule="auto"/>
              <w:rPr>
                <w:b/>
                <w:bCs/>
              </w:rPr>
            </w:pPr>
            <w:r>
              <w:rPr>
                <w:b/>
                <w:bCs/>
              </w:rPr>
              <w:t>On the transfer of non-residential property</w:t>
            </w:r>
          </w:p>
        </w:tc>
      </w:tr>
      <w:tr w:rsidR="002E2CD1" w14:paraId="4893AF4D" w14:textId="77777777" w:rsidTr="002E2CD1">
        <w:tc>
          <w:tcPr>
            <w:tcW w:w="2309" w:type="dxa"/>
          </w:tcPr>
          <w:p w14:paraId="6B378FE1" w14:textId="77777777" w:rsidR="002E2CD1" w:rsidRDefault="002E2CD1" w:rsidP="00A26E75">
            <w:pPr>
              <w:spacing w:after="0" w:line="240" w:lineRule="auto"/>
            </w:pPr>
            <w:r>
              <w:t>£0</w:t>
            </w:r>
            <w:r w:rsidR="00B01154">
              <w:t xml:space="preserve"> – </w:t>
            </w:r>
            <w:r>
              <w:t>£1</w:t>
            </w:r>
            <w:r w:rsidR="00A26E75">
              <w:t>8</w:t>
            </w:r>
            <w:r>
              <w:t>0,000</w:t>
            </w:r>
          </w:p>
        </w:tc>
        <w:tc>
          <w:tcPr>
            <w:tcW w:w="2308" w:type="dxa"/>
          </w:tcPr>
          <w:p w14:paraId="4D979523" w14:textId="77777777" w:rsidR="002E2CD1" w:rsidRDefault="002E2CD1" w:rsidP="002E2CD1">
            <w:pPr>
              <w:spacing w:after="0" w:line="240" w:lineRule="auto"/>
            </w:pPr>
            <w:r>
              <w:t>0%</w:t>
            </w:r>
          </w:p>
        </w:tc>
        <w:tc>
          <w:tcPr>
            <w:tcW w:w="2310" w:type="dxa"/>
          </w:tcPr>
          <w:p w14:paraId="4B4136DB" w14:textId="77777777" w:rsidR="002E2CD1" w:rsidRDefault="002E2CD1" w:rsidP="00B01154">
            <w:pPr>
              <w:spacing w:after="0" w:line="240" w:lineRule="auto"/>
            </w:pPr>
            <w:r>
              <w:t>£0</w:t>
            </w:r>
            <w:r w:rsidR="00B01154">
              <w:t xml:space="preserve"> – </w:t>
            </w:r>
            <w:r>
              <w:t>£150,000</w:t>
            </w:r>
          </w:p>
        </w:tc>
        <w:tc>
          <w:tcPr>
            <w:tcW w:w="2309" w:type="dxa"/>
          </w:tcPr>
          <w:p w14:paraId="1FE252EA" w14:textId="77777777" w:rsidR="002E2CD1" w:rsidRDefault="002E2CD1" w:rsidP="002E2CD1">
            <w:pPr>
              <w:spacing w:after="0" w:line="240" w:lineRule="auto"/>
            </w:pPr>
            <w:r>
              <w:t>0%</w:t>
            </w:r>
          </w:p>
        </w:tc>
      </w:tr>
      <w:tr w:rsidR="002E2CD1" w14:paraId="1DD866E6" w14:textId="77777777" w:rsidTr="002E2CD1">
        <w:trPr>
          <w:cantSplit/>
          <w:trHeight w:val="252"/>
        </w:trPr>
        <w:tc>
          <w:tcPr>
            <w:tcW w:w="2309" w:type="dxa"/>
          </w:tcPr>
          <w:p w14:paraId="64B90412" w14:textId="77777777" w:rsidR="002E2CD1" w:rsidRDefault="002E2CD1" w:rsidP="00A26E75">
            <w:pPr>
              <w:spacing w:after="0" w:line="240" w:lineRule="auto"/>
            </w:pPr>
            <w:r>
              <w:t>£1</w:t>
            </w:r>
            <w:r w:rsidR="00A26E75">
              <w:t>8</w:t>
            </w:r>
            <w:r>
              <w:t>0,001</w:t>
            </w:r>
            <w:r w:rsidR="00B01154">
              <w:t xml:space="preserve"> – </w:t>
            </w:r>
            <w:r>
              <w:t>£250,000</w:t>
            </w:r>
          </w:p>
        </w:tc>
        <w:tc>
          <w:tcPr>
            <w:tcW w:w="2308" w:type="dxa"/>
          </w:tcPr>
          <w:p w14:paraId="28DE2458" w14:textId="77777777" w:rsidR="002E2CD1" w:rsidRDefault="00A26E75" w:rsidP="002E2CD1">
            <w:pPr>
              <w:spacing w:after="0" w:line="240" w:lineRule="auto"/>
            </w:pPr>
            <w:r>
              <w:t>3</w:t>
            </w:r>
            <w:r w:rsidR="002E2CD1">
              <w:t>.5%</w:t>
            </w:r>
          </w:p>
        </w:tc>
        <w:tc>
          <w:tcPr>
            <w:tcW w:w="2310" w:type="dxa"/>
          </w:tcPr>
          <w:p w14:paraId="6D251CD5" w14:textId="34DE988D" w:rsidR="002E2CD1" w:rsidRDefault="002E2CD1" w:rsidP="002E2CD1">
            <w:pPr>
              <w:spacing w:after="0" w:line="240" w:lineRule="auto"/>
            </w:pPr>
            <w:r>
              <w:t>£150,001</w:t>
            </w:r>
            <w:r w:rsidR="000D2F33">
              <w:t xml:space="preserve"> </w:t>
            </w:r>
            <w:r w:rsidR="00D74536">
              <w:t xml:space="preserve">– </w:t>
            </w:r>
            <w:r>
              <w:t xml:space="preserve"> £250,000    </w:t>
            </w:r>
          </w:p>
        </w:tc>
        <w:tc>
          <w:tcPr>
            <w:tcW w:w="2309" w:type="dxa"/>
          </w:tcPr>
          <w:p w14:paraId="43D0018D" w14:textId="77777777" w:rsidR="002E2CD1" w:rsidRDefault="002E2CD1" w:rsidP="002E2CD1">
            <w:pPr>
              <w:spacing w:after="0" w:line="240" w:lineRule="auto"/>
            </w:pPr>
            <w:r>
              <w:t>1%</w:t>
            </w:r>
          </w:p>
        </w:tc>
      </w:tr>
      <w:tr w:rsidR="002E2CD1" w14:paraId="4948FB4B" w14:textId="77777777" w:rsidTr="002E2CD1">
        <w:trPr>
          <w:cantSplit/>
        </w:trPr>
        <w:tc>
          <w:tcPr>
            <w:tcW w:w="2309" w:type="dxa"/>
          </w:tcPr>
          <w:p w14:paraId="11F055E2" w14:textId="77777777" w:rsidR="002E2CD1" w:rsidRDefault="002E2CD1" w:rsidP="002E2CD1">
            <w:pPr>
              <w:spacing w:after="0" w:line="240" w:lineRule="auto"/>
            </w:pPr>
            <w:r>
              <w:t>£250,001</w:t>
            </w:r>
            <w:r w:rsidR="00B01154">
              <w:t xml:space="preserve"> – </w:t>
            </w:r>
            <w:r>
              <w:t>£400,000</w:t>
            </w:r>
          </w:p>
        </w:tc>
        <w:tc>
          <w:tcPr>
            <w:tcW w:w="2308" w:type="dxa"/>
          </w:tcPr>
          <w:p w14:paraId="4C1B67CA" w14:textId="77777777" w:rsidR="002E2CD1" w:rsidRDefault="002E2CD1" w:rsidP="002E2CD1">
            <w:pPr>
              <w:spacing w:after="0" w:line="240" w:lineRule="auto"/>
            </w:pPr>
            <w:r>
              <w:t>5%</w:t>
            </w:r>
          </w:p>
        </w:tc>
        <w:tc>
          <w:tcPr>
            <w:tcW w:w="2310" w:type="dxa"/>
          </w:tcPr>
          <w:p w14:paraId="52697C0F" w14:textId="77777777" w:rsidR="002E2CD1" w:rsidRDefault="002E2CD1" w:rsidP="002E2CD1">
            <w:pPr>
              <w:spacing w:after="0" w:line="240" w:lineRule="auto"/>
            </w:pPr>
            <w:r>
              <w:t>£250,001</w:t>
            </w:r>
            <w:r w:rsidR="00B01154">
              <w:t xml:space="preserve"> – </w:t>
            </w:r>
            <w:r>
              <w:t xml:space="preserve">£1m         </w:t>
            </w:r>
          </w:p>
        </w:tc>
        <w:tc>
          <w:tcPr>
            <w:tcW w:w="2309" w:type="dxa"/>
          </w:tcPr>
          <w:p w14:paraId="33C936D3" w14:textId="77777777" w:rsidR="002E2CD1" w:rsidRDefault="002E2CD1" w:rsidP="002E2CD1">
            <w:pPr>
              <w:spacing w:after="0" w:line="240" w:lineRule="auto"/>
            </w:pPr>
            <w:r>
              <w:t>5%</w:t>
            </w:r>
          </w:p>
        </w:tc>
      </w:tr>
      <w:tr w:rsidR="002E2CD1" w14:paraId="012D709F" w14:textId="77777777" w:rsidTr="002E2CD1">
        <w:trPr>
          <w:cantSplit/>
        </w:trPr>
        <w:tc>
          <w:tcPr>
            <w:tcW w:w="2309" w:type="dxa"/>
          </w:tcPr>
          <w:p w14:paraId="0FDD4065" w14:textId="77777777" w:rsidR="002E2CD1" w:rsidRDefault="002E2CD1" w:rsidP="00B01154">
            <w:pPr>
              <w:spacing w:after="0" w:line="240" w:lineRule="auto"/>
            </w:pPr>
            <w:r>
              <w:t xml:space="preserve">£400,001 </w:t>
            </w:r>
            <w:r w:rsidR="00B01154">
              <w:t>–</w:t>
            </w:r>
            <w:r>
              <w:t xml:space="preserve"> £750,000</w:t>
            </w:r>
          </w:p>
        </w:tc>
        <w:tc>
          <w:tcPr>
            <w:tcW w:w="2308" w:type="dxa"/>
          </w:tcPr>
          <w:p w14:paraId="35FC157E" w14:textId="77777777" w:rsidR="002E2CD1" w:rsidRDefault="002E2CD1" w:rsidP="002E2CD1">
            <w:pPr>
              <w:spacing w:after="0" w:line="240" w:lineRule="auto"/>
            </w:pPr>
            <w:r>
              <w:t>7.5%</w:t>
            </w:r>
          </w:p>
        </w:tc>
        <w:tc>
          <w:tcPr>
            <w:tcW w:w="2310" w:type="dxa"/>
          </w:tcPr>
          <w:p w14:paraId="22D16275" w14:textId="77777777" w:rsidR="002E2CD1" w:rsidRDefault="002E2CD1" w:rsidP="002E2CD1">
            <w:pPr>
              <w:spacing w:after="0" w:line="240" w:lineRule="auto"/>
            </w:pPr>
            <w:r>
              <w:t>Over £1m</w:t>
            </w:r>
          </w:p>
        </w:tc>
        <w:tc>
          <w:tcPr>
            <w:tcW w:w="2309" w:type="dxa"/>
          </w:tcPr>
          <w:p w14:paraId="55BAFA9E" w14:textId="77777777" w:rsidR="002E2CD1" w:rsidRDefault="002E2CD1" w:rsidP="002E2CD1">
            <w:pPr>
              <w:spacing w:after="0" w:line="240" w:lineRule="auto"/>
            </w:pPr>
            <w:r>
              <w:t>6%</w:t>
            </w:r>
          </w:p>
        </w:tc>
      </w:tr>
      <w:tr w:rsidR="002E2CD1" w14:paraId="0B0D3290" w14:textId="77777777" w:rsidTr="002E2CD1">
        <w:trPr>
          <w:cantSplit/>
        </w:trPr>
        <w:tc>
          <w:tcPr>
            <w:tcW w:w="2309" w:type="dxa"/>
          </w:tcPr>
          <w:p w14:paraId="4746227B" w14:textId="77777777" w:rsidR="002E2CD1" w:rsidRDefault="002E2CD1" w:rsidP="00B01154">
            <w:pPr>
              <w:spacing w:after="0" w:line="240" w:lineRule="auto"/>
            </w:pPr>
            <w:r>
              <w:t>£750,000</w:t>
            </w:r>
            <w:r w:rsidR="00B01154">
              <w:t xml:space="preserve"> – </w:t>
            </w:r>
            <w:r>
              <w:t>£1.5m</w:t>
            </w:r>
          </w:p>
        </w:tc>
        <w:tc>
          <w:tcPr>
            <w:tcW w:w="2308" w:type="dxa"/>
          </w:tcPr>
          <w:p w14:paraId="68A5B4A7" w14:textId="77777777" w:rsidR="002E2CD1" w:rsidRDefault="002E2CD1" w:rsidP="002E2CD1">
            <w:pPr>
              <w:spacing w:after="0" w:line="240" w:lineRule="auto"/>
            </w:pPr>
            <w:r>
              <w:t>10%</w:t>
            </w:r>
          </w:p>
        </w:tc>
        <w:tc>
          <w:tcPr>
            <w:tcW w:w="2310" w:type="dxa"/>
          </w:tcPr>
          <w:p w14:paraId="38106C85" w14:textId="77777777" w:rsidR="002E2CD1" w:rsidRDefault="002E2CD1" w:rsidP="002E2CD1">
            <w:pPr>
              <w:spacing w:after="0" w:line="240" w:lineRule="auto"/>
            </w:pPr>
          </w:p>
        </w:tc>
        <w:tc>
          <w:tcPr>
            <w:tcW w:w="2309" w:type="dxa"/>
          </w:tcPr>
          <w:p w14:paraId="691FFBD6" w14:textId="77777777" w:rsidR="002E2CD1" w:rsidRDefault="002E2CD1" w:rsidP="002E2CD1">
            <w:pPr>
              <w:spacing w:after="0" w:line="240" w:lineRule="auto"/>
            </w:pPr>
          </w:p>
        </w:tc>
      </w:tr>
      <w:tr w:rsidR="002E2CD1" w14:paraId="1E1C9F02" w14:textId="77777777" w:rsidTr="002E2CD1">
        <w:trPr>
          <w:cantSplit/>
        </w:trPr>
        <w:tc>
          <w:tcPr>
            <w:tcW w:w="2309" w:type="dxa"/>
          </w:tcPr>
          <w:p w14:paraId="14596E6B" w14:textId="77777777" w:rsidR="002E2CD1" w:rsidRDefault="002E2CD1" w:rsidP="002E2CD1">
            <w:pPr>
              <w:spacing w:after="0" w:line="240" w:lineRule="auto"/>
            </w:pPr>
            <w:r>
              <w:t>Over £1.5m</w:t>
            </w:r>
          </w:p>
        </w:tc>
        <w:tc>
          <w:tcPr>
            <w:tcW w:w="2308" w:type="dxa"/>
          </w:tcPr>
          <w:p w14:paraId="45EDC9E0" w14:textId="77777777" w:rsidR="002E2CD1" w:rsidRDefault="002E2CD1" w:rsidP="002E2CD1">
            <w:pPr>
              <w:spacing w:after="0" w:line="240" w:lineRule="auto"/>
            </w:pPr>
            <w:r>
              <w:t>12%</w:t>
            </w:r>
          </w:p>
        </w:tc>
        <w:tc>
          <w:tcPr>
            <w:tcW w:w="2310" w:type="dxa"/>
          </w:tcPr>
          <w:p w14:paraId="4E666965" w14:textId="77777777" w:rsidR="002E2CD1" w:rsidRDefault="002E2CD1" w:rsidP="002E2CD1">
            <w:pPr>
              <w:spacing w:after="0" w:line="240" w:lineRule="auto"/>
            </w:pPr>
          </w:p>
        </w:tc>
        <w:tc>
          <w:tcPr>
            <w:tcW w:w="2309" w:type="dxa"/>
          </w:tcPr>
          <w:p w14:paraId="49E62B6C" w14:textId="77777777" w:rsidR="002E2CD1" w:rsidRDefault="002E2CD1" w:rsidP="002E2CD1">
            <w:pPr>
              <w:spacing w:after="0" w:line="240" w:lineRule="auto"/>
            </w:pPr>
          </w:p>
        </w:tc>
      </w:tr>
    </w:tbl>
    <w:p w14:paraId="4B0CE239" w14:textId="77777777" w:rsidR="002E2CD1" w:rsidRDefault="002E2CD1" w:rsidP="000D2F33">
      <w:pPr>
        <w:pStyle w:val="Heading2"/>
      </w:pPr>
      <w:r>
        <w:t>IMPORTANT NOTICE</w:t>
      </w:r>
    </w:p>
    <w:p w14:paraId="53838968" w14:textId="77777777" w:rsidR="000D2F33" w:rsidRDefault="00193B35" w:rsidP="002E2CD1">
      <w:pPr>
        <w:rPr>
          <w:rFonts w:asciiTheme="minorHAnsi" w:hAnsiTheme="minorHAnsi" w:cstheme="minorHAnsi"/>
          <w:color w:val="222222"/>
          <w:shd w:val="clear" w:color="auto" w:fill="FFFFFF"/>
        </w:rPr>
      </w:pPr>
      <w:r w:rsidRPr="00193B35">
        <w:rPr>
          <w:rFonts w:asciiTheme="minorHAnsi" w:hAnsiTheme="minorHAnsi" w:cstheme="minorHAnsi"/>
          <w:color w:val="222222"/>
          <w:shd w:val="clear" w:color="auto" w:fill="FFFFFF"/>
        </w:rPr>
        <w:t>These rat</w:t>
      </w:r>
      <w:r>
        <w:rPr>
          <w:rFonts w:asciiTheme="minorHAnsi" w:hAnsiTheme="minorHAnsi" w:cstheme="minorHAnsi"/>
          <w:color w:val="222222"/>
          <w:shd w:val="clear" w:color="auto" w:fill="FFFFFF"/>
        </w:rPr>
        <w:t xml:space="preserve">es and allowances are based on </w:t>
      </w:r>
      <w:r w:rsidR="00B50E9E">
        <w:rPr>
          <w:rFonts w:asciiTheme="minorHAnsi" w:hAnsiTheme="minorHAnsi" w:cstheme="minorHAnsi"/>
          <w:color w:val="222222"/>
          <w:shd w:val="clear" w:color="auto" w:fill="FFFFFF"/>
        </w:rPr>
        <w:t xml:space="preserve">Budget </w:t>
      </w:r>
      <w:r w:rsidR="000D2F33">
        <w:rPr>
          <w:rFonts w:asciiTheme="minorHAnsi" w:hAnsiTheme="minorHAnsi" w:cstheme="minorHAnsi"/>
          <w:color w:val="222222"/>
          <w:shd w:val="clear" w:color="auto" w:fill="FFFFFF"/>
        </w:rPr>
        <w:t xml:space="preserve">2018 </w:t>
      </w:r>
      <w:r w:rsidRPr="00193B35">
        <w:rPr>
          <w:rFonts w:asciiTheme="minorHAnsi" w:hAnsiTheme="minorHAnsi" w:cstheme="minorHAnsi"/>
          <w:color w:val="222222"/>
          <w:shd w:val="clear" w:color="auto" w:fill="FFFFFF"/>
        </w:rPr>
        <w:t xml:space="preserve">announcements made by the UK and Northern Ireland, Scottish and Welsh </w:t>
      </w:r>
      <w:r w:rsidR="000D2F33">
        <w:rPr>
          <w:rFonts w:asciiTheme="minorHAnsi" w:hAnsiTheme="minorHAnsi" w:cstheme="minorHAnsi"/>
          <w:color w:val="222222"/>
          <w:shd w:val="clear" w:color="auto" w:fill="FFFFFF"/>
        </w:rPr>
        <w:t>G</w:t>
      </w:r>
      <w:r w:rsidRPr="00193B35">
        <w:rPr>
          <w:rFonts w:asciiTheme="minorHAnsi" w:hAnsiTheme="minorHAnsi" w:cstheme="minorHAnsi"/>
          <w:color w:val="222222"/>
          <w:shd w:val="clear" w:color="auto" w:fill="FFFFFF"/>
        </w:rPr>
        <w:t xml:space="preserve">overnments and are for information only. </w:t>
      </w:r>
    </w:p>
    <w:p w14:paraId="484F7E05" w14:textId="783B422E" w:rsidR="00193B35" w:rsidRPr="00193B35" w:rsidRDefault="0051523C" w:rsidP="002E2CD1">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All information is</w:t>
      </w:r>
      <w:r w:rsidR="00193B35" w:rsidRPr="00193B35">
        <w:rPr>
          <w:rFonts w:asciiTheme="minorHAnsi" w:hAnsiTheme="minorHAnsi" w:cstheme="minorHAnsi"/>
          <w:color w:val="222222"/>
          <w:shd w:val="clear" w:color="auto" w:fill="FFFFFF"/>
        </w:rPr>
        <w:t xml:space="preserve"> subject to change before 6 April </w:t>
      </w:r>
      <w:r w:rsidR="007915BD">
        <w:rPr>
          <w:rFonts w:asciiTheme="minorHAnsi" w:hAnsiTheme="minorHAnsi" w:cstheme="minorHAnsi"/>
          <w:color w:val="222222"/>
          <w:shd w:val="clear" w:color="auto" w:fill="FFFFFF"/>
        </w:rPr>
        <w:t xml:space="preserve">2019 </w:t>
      </w:r>
      <w:r w:rsidR="00193B35" w:rsidRPr="00193B35">
        <w:rPr>
          <w:rFonts w:asciiTheme="minorHAnsi" w:hAnsiTheme="minorHAnsi" w:cstheme="minorHAnsi"/>
          <w:color w:val="222222"/>
          <w:shd w:val="clear" w:color="auto" w:fill="FFFFFF"/>
        </w:rPr>
        <w:t xml:space="preserve">and confirmation by the </w:t>
      </w:r>
      <w:r w:rsidR="007915BD">
        <w:rPr>
          <w:rFonts w:asciiTheme="minorHAnsi" w:hAnsiTheme="minorHAnsi" w:cstheme="minorHAnsi"/>
          <w:color w:val="222222"/>
          <w:shd w:val="clear" w:color="auto" w:fill="FFFFFF"/>
        </w:rPr>
        <w:t>respective</w:t>
      </w:r>
      <w:r w:rsidR="006C58FA">
        <w:rPr>
          <w:rFonts w:asciiTheme="minorHAnsi" w:hAnsiTheme="minorHAnsi" w:cstheme="minorHAnsi"/>
          <w:color w:val="222222"/>
          <w:shd w:val="clear" w:color="auto" w:fill="FFFFFF"/>
        </w:rPr>
        <w:t xml:space="preserve"> </w:t>
      </w:r>
      <w:r w:rsidR="00D74536">
        <w:rPr>
          <w:rFonts w:asciiTheme="minorHAnsi" w:hAnsiTheme="minorHAnsi" w:cstheme="minorHAnsi"/>
          <w:color w:val="222222"/>
          <w:shd w:val="clear" w:color="auto" w:fill="FFFFFF"/>
        </w:rPr>
        <w:t>governments</w:t>
      </w:r>
      <w:r w:rsidR="00193B35" w:rsidRPr="00193B35">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The above must not be considered advice and no warranty is given for the accuracy or completeness of the details. Professional advice should be sought before making any decisions.</w:t>
      </w:r>
    </w:p>
    <w:p w14:paraId="20E5E2EB" w14:textId="1466D207" w:rsidR="002E2CD1" w:rsidRDefault="002E2CD1">
      <w:r>
        <w:t>Rates apply to the UK and Northern Ireland unless indicated otherwise.</w:t>
      </w:r>
    </w:p>
    <w:sectPr w:rsidR="002E2CD1" w:rsidSect="002E2CD1">
      <w:footerReference w:type="default" r:id="rId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l Powell" w:date="2018-11-09T19:22:00Z" w:initials="CP">
    <w:p w14:paraId="2618029D" w14:textId="32E77E89" w:rsidR="00AE27AB" w:rsidRDefault="00AE27AB">
      <w:pPr>
        <w:pStyle w:val="CommentText"/>
      </w:pPr>
      <w:r>
        <w:rPr>
          <w:rStyle w:val="CommentReference"/>
        </w:rPr>
        <w:annotationRef/>
      </w:r>
      <w:r>
        <w:t>Maybe remove if making space? But it appears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802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8029D" w16cid:durableId="1FBCA4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656E" w14:textId="77777777" w:rsidR="00AE27AB" w:rsidRDefault="00AE27AB">
      <w:pPr>
        <w:spacing w:after="0" w:line="240" w:lineRule="auto"/>
      </w:pPr>
      <w:r>
        <w:separator/>
      </w:r>
    </w:p>
  </w:endnote>
  <w:endnote w:type="continuationSeparator" w:id="0">
    <w:p w14:paraId="126676CC" w14:textId="77777777" w:rsidR="00AE27AB" w:rsidRDefault="00AE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75435"/>
      <w:docPartObj>
        <w:docPartGallery w:val="Page Numbers (Bottom of Page)"/>
        <w:docPartUnique/>
      </w:docPartObj>
    </w:sdtPr>
    <w:sdtEndPr>
      <w:rPr>
        <w:noProof/>
      </w:rPr>
    </w:sdtEndPr>
    <w:sdtContent>
      <w:p w14:paraId="2D08C765" w14:textId="77777777" w:rsidR="00AE27AB" w:rsidRDefault="00AE27AB">
        <w:pPr>
          <w:pStyle w:val="Footer"/>
        </w:pPr>
        <w:r>
          <w:fldChar w:fldCharType="begin"/>
        </w:r>
        <w:r>
          <w:instrText xml:space="preserve"> PAGE   \* MERGEFORMAT </w:instrText>
        </w:r>
        <w:r>
          <w:fldChar w:fldCharType="separate"/>
        </w:r>
        <w:r w:rsidR="00C77C58">
          <w:rPr>
            <w:noProof/>
          </w:rPr>
          <w:t>5</w:t>
        </w:r>
        <w:r>
          <w:rPr>
            <w:noProof/>
          </w:rPr>
          <w:fldChar w:fldCharType="end"/>
        </w:r>
      </w:p>
    </w:sdtContent>
  </w:sdt>
  <w:p w14:paraId="44D645CF" w14:textId="77777777" w:rsidR="00AE27AB" w:rsidRDefault="00AE27A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80DAA" w14:textId="77777777" w:rsidR="00AE27AB" w:rsidRDefault="00AE27AB">
      <w:pPr>
        <w:spacing w:after="0" w:line="240" w:lineRule="auto"/>
      </w:pPr>
      <w:r>
        <w:separator/>
      </w:r>
    </w:p>
  </w:footnote>
  <w:footnote w:type="continuationSeparator" w:id="0">
    <w:p w14:paraId="7919024F" w14:textId="77777777" w:rsidR="00AE27AB" w:rsidRDefault="00AE2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747"/>
    <w:multiLevelType w:val="hybridMultilevel"/>
    <w:tmpl w:val="121871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962A49"/>
    <w:multiLevelType w:val="hybridMultilevel"/>
    <w:tmpl w:val="1D44FC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3112449F"/>
    <w:multiLevelType w:val="hybridMultilevel"/>
    <w:tmpl w:val="9D8E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D7D87"/>
    <w:multiLevelType w:val="hybridMultilevel"/>
    <w:tmpl w:val="0DF6DF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5CB60923"/>
    <w:multiLevelType w:val="hybridMultilevel"/>
    <w:tmpl w:val="A4885E5A"/>
    <w:lvl w:ilvl="0" w:tplc="49FEF6E0">
      <w:numFmt w:val="bullet"/>
      <w:lvlText w:val=""/>
      <w:lvlJc w:val="left"/>
      <w:pPr>
        <w:ind w:left="720" w:hanging="360"/>
      </w:pPr>
      <w:rPr>
        <w:rFonts w:ascii="Symbol" w:eastAsia="MS ??"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0F6B92"/>
    <w:multiLevelType w:val="hybridMultilevel"/>
    <w:tmpl w:val="5EF684A4"/>
    <w:lvl w:ilvl="0" w:tplc="1750BE3A">
      <w:start w:val="1214"/>
      <w:numFmt w:val="bullet"/>
      <w:lvlText w:val=""/>
      <w:lvlJc w:val="left"/>
      <w:pPr>
        <w:ind w:left="720" w:hanging="360"/>
      </w:pPr>
      <w:rPr>
        <w:rFonts w:ascii="Symbol" w:eastAsia="MS ??"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arl Powell">
    <w15:presenceInfo w15:providerId="AD" w15:userId="S-1-5-21-515967899-606747145-682003330-30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D1"/>
    <w:rsid w:val="00041D6B"/>
    <w:rsid w:val="00043ED8"/>
    <w:rsid w:val="00073D2E"/>
    <w:rsid w:val="00082C9A"/>
    <w:rsid w:val="000D2F33"/>
    <w:rsid w:val="000E2517"/>
    <w:rsid w:val="001841D9"/>
    <w:rsid w:val="00193B35"/>
    <w:rsid w:val="00195411"/>
    <w:rsid w:val="001B0927"/>
    <w:rsid w:val="001E071C"/>
    <w:rsid w:val="00275678"/>
    <w:rsid w:val="002917DE"/>
    <w:rsid w:val="002E2CD1"/>
    <w:rsid w:val="00326ACD"/>
    <w:rsid w:val="00327E7E"/>
    <w:rsid w:val="003818E2"/>
    <w:rsid w:val="003A1B9E"/>
    <w:rsid w:val="003B00F4"/>
    <w:rsid w:val="003B1F51"/>
    <w:rsid w:val="004B1766"/>
    <w:rsid w:val="004B5EA6"/>
    <w:rsid w:val="004C1E0A"/>
    <w:rsid w:val="004D53CC"/>
    <w:rsid w:val="0051523C"/>
    <w:rsid w:val="00517111"/>
    <w:rsid w:val="0056176A"/>
    <w:rsid w:val="005707CD"/>
    <w:rsid w:val="006115F0"/>
    <w:rsid w:val="00620410"/>
    <w:rsid w:val="0063299F"/>
    <w:rsid w:val="006C2838"/>
    <w:rsid w:val="006C58FA"/>
    <w:rsid w:val="006C7EA8"/>
    <w:rsid w:val="006E7979"/>
    <w:rsid w:val="00773F16"/>
    <w:rsid w:val="007747DD"/>
    <w:rsid w:val="007915BD"/>
    <w:rsid w:val="00795248"/>
    <w:rsid w:val="007A188F"/>
    <w:rsid w:val="007C7F4A"/>
    <w:rsid w:val="007D587C"/>
    <w:rsid w:val="007E5391"/>
    <w:rsid w:val="008102ED"/>
    <w:rsid w:val="00845A7E"/>
    <w:rsid w:val="00846C1A"/>
    <w:rsid w:val="0087738D"/>
    <w:rsid w:val="0089046A"/>
    <w:rsid w:val="00906064"/>
    <w:rsid w:val="009322A4"/>
    <w:rsid w:val="00941E6B"/>
    <w:rsid w:val="009835A0"/>
    <w:rsid w:val="00991F8C"/>
    <w:rsid w:val="009B2E69"/>
    <w:rsid w:val="00A036E9"/>
    <w:rsid w:val="00A2286A"/>
    <w:rsid w:val="00A26E75"/>
    <w:rsid w:val="00A272E3"/>
    <w:rsid w:val="00A652F2"/>
    <w:rsid w:val="00A94EDA"/>
    <w:rsid w:val="00AA59CE"/>
    <w:rsid w:val="00AC2B5B"/>
    <w:rsid w:val="00AD6F31"/>
    <w:rsid w:val="00AE165E"/>
    <w:rsid w:val="00AE27AB"/>
    <w:rsid w:val="00B01154"/>
    <w:rsid w:val="00B213E1"/>
    <w:rsid w:val="00B24E85"/>
    <w:rsid w:val="00B2637A"/>
    <w:rsid w:val="00B50E9E"/>
    <w:rsid w:val="00B55519"/>
    <w:rsid w:val="00B56CF9"/>
    <w:rsid w:val="00B578ED"/>
    <w:rsid w:val="00BE5486"/>
    <w:rsid w:val="00BF7040"/>
    <w:rsid w:val="00C01992"/>
    <w:rsid w:val="00C16A28"/>
    <w:rsid w:val="00C2695E"/>
    <w:rsid w:val="00C7391B"/>
    <w:rsid w:val="00C77C58"/>
    <w:rsid w:val="00CB5CD6"/>
    <w:rsid w:val="00CD6D73"/>
    <w:rsid w:val="00D35499"/>
    <w:rsid w:val="00D5313C"/>
    <w:rsid w:val="00D74536"/>
    <w:rsid w:val="00D748EF"/>
    <w:rsid w:val="00D77059"/>
    <w:rsid w:val="00D80411"/>
    <w:rsid w:val="00D97F2F"/>
    <w:rsid w:val="00DB2F80"/>
    <w:rsid w:val="00DD2D2A"/>
    <w:rsid w:val="00E01587"/>
    <w:rsid w:val="00E04348"/>
    <w:rsid w:val="00E424CC"/>
    <w:rsid w:val="00E45D76"/>
    <w:rsid w:val="00E5442F"/>
    <w:rsid w:val="00E65636"/>
    <w:rsid w:val="00ED7E83"/>
    <w:rsid w:val="00EE7EC5"/>
    <w:rsid w:val="00EF29FF"/>
    <w:rsid w:val="00EF2D28"/>
    <w:rsid w:val="00F55D65"/>
    <w:rsid w:val="00F81431"/>
    <w:rsid w:val="00FB54EE"/>
    <w:rsid w:val="00FB613D"/>
    <w:rsid w:val="00FC17FD"/>
    <w:rsid w:val="00FC44AB"/>
    <w:rsid w:val="00FD0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D1"/>
    <w:rPr>
      <w:rFonts w:ascii="Calibri" w:eastAsia="MS ??" w:hAnsi="Calibri" w:cs="Calibri"/>
    </w:rPr>
  </w:style>
  <w:style w:type="paragraph" w:styleId="Heading1">
    <w:name w:val="heading 1"/>
    <w:basedOn w:val="Normal"/>
    <w:next w:val="Normal"/>
    <w:link w:val="Heading1Char"/>
    <w:uiPriority w:val="99"/>
    <w:qFormat/>
    <w:rsid w:val="002E2CD1"/>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
    <w:unhideWhenUsed/>
    <w:qFormat/>
    <w:rsid w:val="00E544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2CD1"/>
    <w:rPr>
      <w:rFonts w:ascii="Cambria" w:eastAsia="MS ????" w:hAnsi="Cambria" w:cs="Cambria"/>
      <w:b/>
      <w:bCs/>
      <w:color w:val="365F91"/>
      <w:sz w:val="28"/>
      <w:szCs w:val="28"/>
    </w:rPr>
  </w:style>
  <w:style w:type="paragraph" w:styleId="Header">
    <w:name w:val="header"/>
    <w:basedOn w:val="Normal"/>
    <w:link w:val="HeaderChar"/>
    <w:uiPriority w:val="99"/>
    <w:rsid w:val="002E2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D1"/>
    <w:rPr>
      <w:rFonts w:ascii="Calibri" w:eastAsia="MS ??" w:hAnsi="Calibri" w:cs="Calibri"/>
    </w:rPr>
  </w:style>
  <w:style w:type="paragraph" w:styleId="Title">
    <w:name w:val="Title"/>
    <w:basedOn w:val="Normal"/>
    <w:next w:val="Normal"/>
    <w:link w:val="TitleChar"/>
    <w:uiPriority w:val="99"/>
    <w:qFormat/>
    <w:rsid w:val="002E2CD1"/>
    <w:pPr>
      <w:pBdr>
        <w:bottom w:val="single" w:sz="8" w:space="4" w:color="4F81BD"/>
      </w:pBdr>
      <w:spacing w:after="300" w:line="240" w:lineRule="auto"/>
    </w:pPr>
    <w:rPr>
      <w:rFonts w:ascii="Cambria" w:eastAsia="MS ????" w:hAnsi="Cambria" w:cs="Cambria"/>
      <w:color w:val="17365D"/>
      <w:spacing w:val="5"/>
      <w:kern w:val="28"/>
      <w:sz w:val="52"/>
      <w:szCs w:val="52"/>
    </w:rPr>
  </w:style>
  <w:style w:type="character" w:customStyle="1" w:styleId="TitleChar">
    <w:name w:val="Title Char"/>
    <w:basedOn w:val="DefaultParagraphFont"/>
    <w:link w:val="Title"/>
    <w:uiPriority w:val="99"/>
    <w:rsid w:val="002E2CD1"/>
    <w:rPr>
      <w:rFonts w:ascii="Cambria" w:eastAsia="MS ????" w:hAnsi="Cambria" w:cs="Cambria"/>
      <w:color w:val="17365D"/>
      <w:spacing w:val="5"/>
      <w:kern w:val="28"/>
      <w:sz w:val="52"/>
      <w:szCs w:val="52"/>
    </w:rPr>
  </w:style>
  <w:style w:type="paragraph" w:styleId="ListParagraph">
    <w:name w:val="List Paragraph"/>
    <w:basedOn w:val="Normal"/>
    <w:uiPriority w:val="99"/>
    <w:qFormat/>
    <w:rsid w:val="002E2CD1"/>
    <w:pPr>
      <w:ind w:left="720"/>
    </w:pPr>
  </w:style>
  <w:style w:type="paragraph" w:styleId="Footer">
    <w:name w:val="footer"/>
    <w:basedOn w:val="Normal"/>
    <w:link w:val="FooterChar"/>
    <w:uiPriority w:val="99"/>
    <w:rsid w:val="002E2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D1"/>
    <w:rPr>
      <w:rFonts w:ascii="Calibri" w:eastAsia="MS ??" w:hAnsi="Calibri" w:cs="Calibri"/>
    </w:rPr>
  </w:style>
  <w:style w:type="table" w:styleId="TableGrid">
    <w:name w:val="Table Grid"/>
    <w:basedOn w:val="TableNormal"/>
    <w:uiPriority w:val="59"/>
    <w:rsid w:val="002E2CD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442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6F31"/>
    <w:rPr>
      <w:sz w:val="16"/>
      <w:szCs w:val="16"/>
    </w:rPr>
  </w:style>
  <w:style w:type="paragraph" w:styleId="CommentText">
    <w:name w:val="annotation text"/>
    <w:basedOn w:val="Normal"/>
    <w:link w:val="CommentTextChar"/>
    <w:uiPriority w:val="99"/>
    <w:semiHidden/>
    <w:unhideWhenUsed/>
    <w:rsid w:val="00AD6F31"/>
    <w:pPr>
      <w:spacing w:line="240" w:lineRule="auto"/>
    </w:pPr>
    <w:rPr>
      <w:sz w:val="20"/>
      <w:szCs w:val="20"/>
    </w:rPr>
  </w:style>
  <w:style w:type="character" w:customStyle="1" w:styleId="CommentTextChar">
    <w:name w:val="Comment Text Char"/>
    <w:basedOn w:val="DefaultParagraphFont"/>
    <w:link w:val="CommentText"/>
    <w:uiPriority w:val="99"/>
    <w:semiHidden/>
    <w:rsid w:val="00AD6F31"/>
    <w:rPr>
      <w:rFonts w:ascii="Calibri" w:eastAsia="MS ??" w:hAnsi="Calibri" w:cs="Calibri"/>
      <w:sz w:val="20"/>
      <w:szCs w:val="20"/>
    </w:rPr>
  </w:style>
  <w:style w:type="paragraph" w:styleId="CommentSubject">
    <w:name w:val="annotation subject"/>
    <w:basedOn w:val="CommentText"/>
    <w:next w:val="CommentText"/>
    <w:link w:val="CommentSubjectChar"/>
    <w:uiPriority w:val="99"/>
    <w:semiHidden/>
    <w:unhideWhenUsed/>
    <w:rsid w:val="00AD6F31"/>
    <w:rPr>
      <w:b/>
      <w:bCs/>
    </w:rPr>
  </w:style>
  <w:style w:type="character" w:customStyle="1" w:styleId="CommentSubjectChar">
    <w:name w:val="Comment Subject Char"/>
    <w:basedOn w:val="CommentTextChar"/>
    <w:link w:val="CommentSubject"/>
    <w:uiPriority w:val="99"/>
    <w:semiHidden/>
    <w:rsid w:val="00AD6F31"/>
    <w:rPr>
      <w:rFonts w:ascii="Calibri" w:eastAsia="MS ??" w:hAnsi="Calibri" w:cs="Calibri"/>
      <w:b/>
      <w:bCs/>
      <w:sz w:val="20"/>
      <w:szCs w:val="20"/>
    </w:rPr>
  </w:style>
  <w:style w:type="paragraph" w:styleId="BalloonText">
    <w:name w:val="Balloon Text"/>
    <w:basedOn w:val="Normal"/>
    <w:link w:val="BalloonTextChar"/>
    <w:uiPriority w:val="99"/>
    <w:semiHidden/>
    <w:unhideWhenUsed/>
    <w:rsid w:val="00AD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31"/>
    <w:rPr>
      <w:rFonts w:ascii="Tahoma" w:eastAsia="MS ??" w:hAnsi="Tahoma" w:cs="Tahoma"/>
      <w:sz w:val="16"/>
      <w:szCs w:val="16"/>
    </w:rPr>
  </w:style>
  <w:style w:type="character" w:styleId="Hyperlink">
    <w:name w:val="Hyperlink"/>
    <w:basedOn w:val="DefaultParagraphFont"/>
    <w:uiPriority w:val="99"/>
    <w:unhideWhenUsed/>
    <w:rsid w:val="00AD6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D1"/>
    <w:rPr>
      <w:rFonts w:ascii="Calibri" w:eastAsia="MS ??" w:hAnsi="Calibri" w:cs="Calibri"/>
    </w:rPr>
  </w:style>
  <w:style w:type="paragraph" w:styleId="Heading1">
    <w:name w:val="heading 1"/>
    <w:basedOn w:val="Normal"/>
    <w:next w:val="Normal"/>
    <w:link w:val="Heading1Char"/>
    <w:uiPriority w:val="99"/>
    <w:qFormat/>
    <w:rsid w:val="002E2CD1"/>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
    <w:unhideWhenUsed/>
    <w:qFormat/>
    <w:rsid w:val="00E544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2CD1"/>
    <w:rPr>
      <w:rFonts w:ascii="Cambria" w:eastAsia="MS ????" w:hAnsi="Cambria" w:cs="Cambria"/>
      <w:b/>
      <w:bCs/>
      <w:color w:val="365F91"/>
      <w:sz w:val="28"/>
      <w:szCs w:val="28"/>
    </w:rPr>
  </w:style>
  <w:style w:type="paragraph" w:styleId="Header">
    <w:name w:val="header"/>
    <w:basedOn w:val="Normal"/>
    <w:link w:val="HeaderChar"/>
    <w:uiPriority w:val="99"/>
    <w:rsid w:val="002E2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D1"/>
    <w:rPr>
      <w:rFonts w:ascii="Calibri" w:eastAsia="MS ??" w:hAnsi="Calibri" w:cs="Calibri"/>
    </w:rPr>
  </w:style>
  <w:style w:type="paragraph" w:styleId="Title">
    <w:name w:val="Title"/>
    <w:basedOn w:val="Normal"/>
    <w:next w:val="Normal"/>
    <w:link w:val="TitleChar"/>
    <w:uiPriority w:val="99"/>
    <w:qFormat/>
    <w:rsid w:val="002E2CD1"/>
    <w:pPr>
      <w:pBdr>
        <w:bottom w:val="single" w:sz="8" w:space="4" w:color="4F81BD"/>
      </w:pBdr>
      <w:spacing w:after="300" w:line="240" w:lineRule="auto"/>
    </w:pPr>
    <w:rPr>
      <w:rFonts w:ascii="Cambria" w:eastAsia="MS ????" w:hAnsi="Cambria" w:cs="Cambria"/>
      <w:color w:val="17365D"/>
      <w:spacing w:val="5"/>
      <w:kern w:val="28"/>
      <w:sz w:val="52"/>
      <w:szCs w:val="52"/>
    </w:rPr>
  </w:style>
  <w:style w:type="character" w:customStyle="1" w:styleId="TitleChar">
    <w:name w:val="Title Char"/>
    <w:basedOn w:val="DefaultParagraphFont"/>
    <w:link w:val="Title"/>
    <w:uiPriority w:val="99"/>
    <w:rsid w:val="002E2CD1"/>
    <w:rPr>
      <w:rFonts w:ascii="Cambria" w:eastAsia="MS ????" w:hAnsi="Cambria" w:cs="Cambria"/>
      <w:color w:val="17365D"/>
      <w:spacing w:val="5"/>
      <w:kern w:val="28"/>
      <w:sz w:val="52"/>
      <w:szCs w:val="52"/>
    </w:rPr>
  </w:style>
  <w:style w:type="paragraph" w:styleId="ListParagraph">
    <w:name w:val="List Paragraph"/>
    <w:basedOn w:val="Normal"/>
    <w:uiPriority w:val="99"/>
    <w:qFormat/>
    <w:rsid w:val="002E2CD1"/>
    <w:pPr>
      <w:ind w:left="720"/>
    </w:pPr>
  </w:style>
  <w:style w:type="paragraph" w:styleId="Footer">
    <w:name w:val="footer"/>
    <w:basedOn w:val="Normal"/>
    <w:link w:val="FooterChar"/>
    <w:uiPriority w:val="99"/>
    <w:rsid w:val="002E2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D1"/>
    <w:rPr>
      <w:rFonts w:ascii="Calibri" w:eastAsia="MS ??" w:hAnsi="Calibri" w:cs="Calibri"/>
    </w:rPr>
  </w:style>
  <w:style w:type="table" w:styleId="TableGrid">
    <w:name w:val="Table Grid"/>
    <w:basedOn w:val="TableNormal"/>
    <w:uiPriority w:val="59"/>
    <w:rsid w:val="002E2CD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442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6F31"/>
    <w:rPr>
      <w:sz w:val="16"/>
      <w:szCs w:val="16"/>
    </w:rPr>
  </w:style>
  <w:style w:type="paragraph" w:styleId="CommentText">
    <w:name w:val="annotation text"/>
    <w:basedOn w:val="Normal"/>
    <w:link w:val="CommentTextChar"/>
    <w:uiPriority w:val="99"/>
    <w:semiHidden/>
    <w:unhideWhenUsed/>
    <w:rsid w:val="00AD6F31"/>
    <w:pPr>
      <w:spacing w:line="240" w:lineRule="auto"/>
    </w:pPr>
    <w:rPr>
      <w:sz w:val="20"/>
      <w:szCs w:val="20"/>
    </w:rPr>
  </w:style>
  <w:style w:type="character" w:customStyle="1" w:styleId="CommentTextChar">
    <w:name w:val="Comment Text Char"/>
    <w:basedOn w:val="DefaultParagraphFont"/>
    <w:link w:val="CommentText"/>
    <w:uiPriority w:val="99"/>
    <w:semiHidden/>
    <w:rsid w:val="00AD6F31"/>
    <w:rPr>
      <w:rFonts w:ascii="Calibri" w:eastAsia="MS ??" w:hAnsi="Calibri" w:cs="Calibri"/>
      <w:sz w:val="20"/>
      <w:szCs w:val="20"/>
    </w:rPr>
  </w:style>
  <w:style w:type="paragraph" w:styleId="CommentSubject">
    <w:name w:val="annotation subject"/>
    <w:basedOn w:val="CommentText"/>
    <w:next w:val="CommentText"/>
    <w:link w:val="CommentSubjectChar"/>
    <w:uiPriority w:val="99"/>
    <w:semiHidden/>
    <w:unhideWhenUsed/>
    <w:rsid w:val="00AD6F31"/>
    <w:rPr>
      <w:b/>
      <w:bCs/>
    </w:rPr>
  </w:style>
  <w:style w:type="character" w:customStyle="1" w:styleId="CommentSubjectChar">
    <w:name w:val="Comment Subject Char"/>
    <w:basedOn w:val="CommentTextChar"/>
    <w:link w:val="CommentSubject"/>
    <w:uiPriority w:val="99"/>
    <w:semiHidden/>
    <w:rsid w:val="00AD6F31"/>
    <w:rPr>
      <w:rFonts w:ascii="Calibri" w:eastAsia="MS ??" w:hAnsi="Calibri" w:cs="Calibri"/>
      <w:b/>
      <w:bCs/>
      <w:sz w:val="20"/>
      <w:szCs w:val="20"/>
    </w:rPr>
  </w:style>
  <w:style w:type="paragraph" w:styleId="BalloonText">
    <w:name w:val="Balloon Text"/>
    <w:basedOn w:val="Normal"/>
    <w:link w:val="BalloonTextChar"/>
    <w:uiPriority w:val="99"/>
    <w:semiHidden/>
    <w:unhideWhenUsed/>
    <w:rsid w:val="00AD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F31"/>
    <w:rPr>
      <w:rFonts w:ascii="Tahoma" w:eastAsia="MS ??" w:hAnsi="Tahoma" w:cs="Tahoma"/>
      <w:sz w:val="16"/>
      <w:szCs w:val="16"/>
    </w:rPr>
  </w:style>
  <w:style w:type="character" w:styleId="Hyperlink">
    <w:name w:val="Hyperlink"/>
    <w:basedOn w:val="DefaultParagraphFont"/>
    <w:uiPriority w:val="99"/>
    <w:unhideWhenUsed/>
    <w:rsid w:val="00AD6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79687">
      <w:bodyDiv w:val="1"/>
      <w:marLeft w:val="0"/>
      <w:marRight w:val="0"/>
      <w:marTop w:val="0"/>
      <w:marBottom w:val="0"/>
      <w:divBdr>
        <w:top w:val="none" w:sz="0" w:space="0" w:color="auto"/>
        <w:left w:val="none" w:sz="0" w:space="0" w:color="auto"/>
        <w:bottom w:val="none" w:sz="0" w:space="0" w:color="auto"/>
        <w:right w:val="none" w:sz="0" w:space="0" w:color="auto"/>
      </w:divBdr>
    </w:div>
    <w:div w:id="1580673717">
      <w:bodyDiv w:val="1"/>
      <w:marLeft w:val="0"/>
      <w:marRight w:val="0"/>
      <w:marTop w:val="0"/>
      <w:marBottom w:val="0"/>
      <w:divBdr>
        <w:top w:val="none" w:sz="0" w:space="0" w:color="auto"/>
        <w:left w:val="none" w:sz="0" w:space="0" w:color="auto"/>
        <w:bottom w:val="none" w:sz="0" w:space="0" w:color="auto"/>
        <w:right w:val="none" w:sz="0" w:space="0" w:color="auto"/>
      </w:divBdr>
    </w:div>
    <w:div w:id="1714495604">
      <w:bodyDiv w:val="1"/>
      <w:marLeft w:val="0"/>
      <w:marRight w:val="0"/>
      <w:marTop w:val="0"/>
      <w:marBottom w:val="0"/>
      <w:divBdr>
        <w:top w:val="none" w:sz="0" w:space="0" w:color="auto"/>
        <w:left w:val="none" w:sz="0" w:space="0" w:color="auto"/>
        <w:bottom w:val="none" w:sz="0" w:space="0" w:color="auto"/>
        <w:right w:val="none" w:sz="0" w:space="0" w:color="auto"/>
      </w:divBdr>
      <w:divsChild>
        <w:div w:id="412632845">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Neal</dc:creator>
  <cp:lastModifiedBy>James Martini</cp:lastModifiedBy>
  <cp:revision>11</cp:revision>
  <cp:lastPrinted>2018-12-13T09:34:00Z</cp:lastPrinted>
  <dcterms:created xsi:type="dcterms:W3CDTF">2018-12-13T16:14:00Z</dcterms:created>
  <dcterms:modified xsi:type="dcterms:W3CDTF">2019-02-07T10:28:00Z</dcterms:modified>
</cp:coreProperties>
</file>